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E852F">
      <w:pPr>
        <w:jc w:val="center"/>
        <w:rPr>
          <w:rFonts w:ascii="仿宋" w:hAnsi="仿宋" w:eastAsia="仿宋"/>
          <w:b/>
          <w:sz w:val="28"/>
          <w:szCs w:val="28"/>
        </w:rPr>
      </w:pPr>
    </w:p>
    <w:p w14:paraId="68E845F2">
      <w:pPr>
        <w:jc w:val="center"/>
        <w:rPr>
          <w:rFonts w:ascii="仿宋" w:hAnsi="仿宋" w:eastAsia="仿宋"/>
          <w:b/>
          <w:sz w:val="28"/>
          <w:szCs w:val="28"/>
        </w:rPr>
      </w:pPr>
    </w:p>
    <w:p w14:paraId="1E6A0813">
      <w:pPr>
        <w:jc w:val="center"/>
        <w:rPr>
          <w:rFonts w:ascii="仿宋" w:hAnsi="仿宋" w:eastAsia="仿宋"/>
          <w:b/>
          <w:sz w:val="28"/>
          <w:szCs w:val="28"/>
        </w:rPr>
      </w:pPr>
      <w:r>
        <w:rPr>
          <w:rFonts w:hint="eastAsia" w:ascii="仿宋" w:hAnsi="仿宋" w:eastAsia="仿宋" w:cstheme="minorBidi"/>
          <w:b/>
          <w:bCs w:val="0"/>
          <w:kern w:val="2"/>
          <w:sz w:val="28"/>
          <w:szCs w:val="28"/>
          <w:lang w:val="en-US" w:eastAsia="zh-CN"/>
        </w:rPr>
        <w:t>海螺沟景区游客中心建设项目和海螺沟景区游客中心综合提升及配套基础设施完善项目打捆建设项目</w:t>
      </w:r>
      <w:r>
        <w:rPr>
          <w:rFonts w:hint="eastAsia" w:ascii="仿宋" w:hAnsi="仿宋" w:eastAsia="仿宋" w:cstheme="minorBidi"/>
          <w:b/>
          <w:bCs w:val="0"/>
          <w:snapToGrid/>
          <w:spacing w:val="0"/>
          <w:kern w:val="2"/>
          <w:sz w:val="28"/>
          <w:szCs w:val="28"/>
          <w:lang w:val="en-US" w:eastAsia="zh-CN" w:bidi="ar-SA"/>
        </w:rPr>
        <w:t>水土保持验收</w:t>
      </w:r>
      <w:r>
        <w:rPr>
          <w:rFonts w:hint="eastAsia" w:ascii="仿宋" w:hAnsi="仿宋" w:eastAsia="仿宋" w:cstheme="minorBidi"/>
          <w:b/>
          <w:bCs w:val="0"/>
          <w:snapToGrid/>
          <w:spacing w:val="0"/>
          <w:kern w:val="2"/>
          <w:sz w:val="28"/>
          <w:szCs w:val="28"/>
          <w:lang w:val="en-US" w:eastAsia="en-US" w:bidi="ar-SA"/>
        </w:rPr>
        <w:t>项目</w:t>
      </w:r>
      <w:r>
        <w:rPr>
          <w:rFonts w:hint="eastAsia" w:ascii="仿宋" w:hAnsi="仿宋" w:eastAsia="仿宋"/>
          <w:b/>
          <w:sz w:val="28"/>
          <w:szCs w:val="28"/>
        </w:rPr>
        <w:t>合同</w:t>
      </w:r>
    </w:p>
    <w:p w14:paraId="64C48E74">
      <w:pPr>
        <w:jc w:val="center"/>
        <w:rPr>
          <w:rFonts w:ascii="仿宋" w:hAnsi="仿宋" w:eastAsia="仿宋"/>
          <w:sz w:val="28"/>
          <w:szCs w:val="28"/>
        </w:rPr>
      </w:pPr>
    </w:p>
    <w:p w14:paraId="6399D1E7">
      <w:pPr>
        <w:rPr>
          <w:rFonts w:ascii="仿宋" w:hAnsi="仿宋" w:eastAsia="仿宋"/>
          <w:sz w:val="28"/>
          <w:szCs w:val="28"/>
        </w:rPr>
      </w:pPr>
      <w:r>
        <w:rPr>
          <w:rFonts w:ascii="仿宋" w:hAnsi="仿宋" w:eastAsia="仿宋"/>
          <w:sz w:val="28"/>
          <w:szCs w:val="28"/>
        </w:rPr>
        <w:t xml:space="preserve">                                                 </w:t>
      </w:r>
    </w:p>
    <w:p w14:paraId="1F167BFD">
      <w:pPr>
        <w:rPr>
          <w:rFonts w:ascii="仿宋" w:hAnsi="仿宋" w:eastAsia="仿宋"/>
          <w:sz w:val="28"/>
          <w:szCs w:val="28"/>
        </w:rPr>
      </w:pPr>
    </w:p>
    <w:p w14:paraId="3C9F500F">
      <w:pPr>
        <w:rPr>
          <w:rFonts w:ascii="仿宋" w:hAnsi="仿宋" w:eastAsia="仿宋"/>
          <w:sz w:val="28"/>
          <w:szCs w:val="28"/>
        </w:rPr>
      </w:pPr>
    </w:p>
    <w:p w14:paraId="46CF1D4D">
      <w:pPr>
        <w:rPr>
          <w:rFonts w:ascii="仿宋" w:hAnsi="仿宋" w:eastAsia="仿宋"/>
          <w:sz w:val="28"/>
          <w:szCs w:val="28"/>
        </w:rPr>
      </w:pPr>
    </w:p>
    <w:p w14:paraId="12A3E240">
      <w:pPr>
        <w:rPr>
          <w:rFonts w:ascii="仿宋" w:hAnsi="仿宋" w:eastAsia="仿宋"/>
          <w:sz w:val="28"/>
          <w:szCs w:val="28"/>
        </w:rPr>
      </w:pPr>
    </w:p>
    <w:p w14:paraId="342B6B78">
      <w:pPr>
        <w:rPr>
          <w:rFonts w:ascii="仿宋" w:hAnsi="仿宋" w:eastAsia="仿宋"/>
          <w:sz w:val="28"/>
          <w:szCs w:val="28"/>
        </w:rPr>
      </w:pPr>
    </w:p>
    <w:p w14:paraId="00C6B99B">
      <w:pPr>
        <w:rPr>
          <w:rFonts w:ascii="仿宋" w:hAnsi="仿宋" w:eastAsia="仿宋"/>
          <w:sz w:val="28"/>
          <w:szCs w:val="28"/>
        </w:rPr>
      </w:pPr>
    </w:p>
    <w:p w14:paraId="62CB2F12">
      <w:pPr>
        <w:rPr>
          <w:rFonts w:ascii="仿宋" w:hAnsi="仿宋" w:eastAsia="仿宋"/>
          <w:sz w:val="28"/>
          <w:szCs w:val="28"/>
          <w:u w:val="single"/>
        </w:rPr>
      </w:pPr>
      <w:r>
        <w:rPr>
          <w:rFonts w:hint="eastAsia" w:ascii="仿宋" w:hAnsi="仿宋" w:eastAsia="仿宋"/>
          <w:sz w:val="28"/>
          <w:szCs w:val="28"/>
        </w:rPr>
        <w:t>委托方(甲方):</w:t>
      </w:r>
      <w:r>
        <w:rPr>
          <w:rFonts w:hint="eastAsia" w:ascii="宋体" w:eastAsia="宋体" w:cs="宋体"/>
          <w:kern w:val="0"/>
          <w:sz w:val="28"/>
          <w:szCs w:val="28"/>
          <w:u w:val="single"/>
        </w:rPr>
        <w:t xml:space="preserve"> </w:t>
      </w:r>
      <w:r>
        <w:rPr>
          <w:rFonts w:ascii="宋体" w:eastAsia="宋体" w:cs="宋体"/>
          <w:kern w:val="0"/>
          <w:sz w:val="28"/>
          <w:szCs w:val="28"/>
          <w:u w:val="single"/>
        </w:rPr>
        <w:t xml:space="preserve">   </w:t>
      </w:r>
      <w:r>
        <w:rPr>
          <w:rFonts w:hint="eastAsia" w:ascii="宋体" w:eastAsia="宋体" w:cs="宋体"/>
          <w:kern w:val="0"/>
          <w:sz w:val="28"/>
          <w:szCs w:val="28"/>
          <w:u w:val="single"/>
        </w:rPr>
        <w:t xml:space="preserve">   </w:t>
      </w:r>
      <w:r>
        <w:rPr>
          <w:rFonts w:hint="eastAsia" w:ascii="仿宋" w:hAnsi="仿宋" w:eastAsia="仿宋"/>
          <w:sz w:val="28"/>
          <w:szCs w:val="28"/>
          <w:u w:val="single"/>
        </w:rPr>
        <w:t xml:space="preserve">甘孜州海螺沟冰川实业有限公司         </w:t>
      </w:r>
    </w:p>
    <w:p w14:paraId="27D9B57C">
      <w:pPr>
        <w:rPr>
          <w:rFonts w:ascii="仿宋" w:hAnsi="仿宋" w:eastAsia="仿宋"/>
          <w:sz w:val="28"/>
          <w:szCs w:val="28"/>
        </w:rPr>
      </w:pPr>
    </w:p>
    <w:p w14:paraId="66142339">
      <w:pPr>
        <w:rPr>
          <w:rFonts w:ascii="仿宋" w:hAnsi="仿宋" w:eastAsia="仿宋"/>
          <w:sz w:val="28"/>
          <w:szCs w:val="28"/>
        </w:rPr>
      </w:pPr>
      <w:r>
        <w:rPr>
          <w:rFonts w:hint="eastAsia" w:ascii="仿宋" w:hAnsi="仿宋" w:eastAsia="仿宋"/>
          <w:sz w:val="28"/>
          <w:szCs w:val="28"/>
        </w:rPr>
        <w:t>受托方(乙方):</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14:paraId="2D981EFF">
      <w:pPr>
        <w:rPr>
          <w:rFonts w:ascii="仿宋" w:hAnsi="仿宋" w:eastAsia="仿宋"/>
          <w:sz w:val="28"/>
          <w:szCs w:val="28"/>
        </w:rPr>
      </w:pPr>
    </w:p>
    <w:p w14:paraId="62BA270C">
      <w:pPr>
        <w:rPr>
          <w:rFonts w:ascii="仿宋" w:hAnsi="仿宋" w:eastAsia="仿宋"/>
          <w:sz w:val="28"/>
          <w:szCs w:val="28"/>
        </w:rPr>
      </w:pPr>
    </w:p>
    <w:p w14:paraId="3E24BD48">
      <w:pPr>
        <w:rPr>
          <w:rFonts w:ascii="仿宋" w:hAnsi="仿宋" w:eastAsia="仿宋"/>
          <w:sz w:val="28"/>
          <w:szCs w:val="28"/>
        </w:rPr>
      </w:pPr>
      <w:r>
        <w:rPr>
          <w:rFonts w:hint="eastAsia" w:ascii="仿宋" w:hAnsi="仿宋" w:eastAsia="仿宋"/>
          <w:sz w:val="28"/>
          <w:szCs w:val="28"/>
        </w:rPr>
        <w:t>　　　　　　　　　　　　　　　　　　　　　　</w:t>
      </w:r>
    </w:p>
    <w:p w14:paraId="227E389E">
      <w:pPr>
        <w:rPr>
          <w:rFonts w:ascii="仿宋" w:hAnsi="仿宋" w:eastAsia="仿宋"/>
          <w:sz w:val="28"/>
          <w:szCs w:val="28"/>
        </w:rPr>
      </w:pPr>
      <w:r>
        <w:rPr>
          <w:rFonts w:hint="eastAsia" w:ascii="仿宋" w:hAnsi="仿宋" w:eastAsia="仿宋"/>
          <w:sz w:val="28"/>
          <w:szCs w:val="28"/>
        </w:rPr>
        <w:t>签订地点：　泸定县磨西镇　　</w:t>
      </w:r>
    </w:p>
    <w:p w14:paraId="5F4EC77C">
      <w:pPr>
        <w:rPr>
          <w:rFonts w:ascii="仿宋" w:hAnsi="仿宋" w:eastAsia="仿宋"/>
          <w:sz w:val="28"/>
          <w:szCs w:val="28"/>
        </w:rPr>
      </w:pPr>
      <w:r>
        <w:rPr>
          <w:rFonts w:hint="eastAsia" w:ascii="仿宋" w:hAnsi="仿宋" w:eastAsia="仿宋"/>
          <w:sz w:val="28"/>
          <w:szCs w:val="28"/>
        </w:rPr>
        <w:t>签订时间：　　2</w:t>
      </w:r>
      <w:r>
        <w:rPr>
          <w:rFonts w:ascii="仿宋" w:hAnsi="仿宋" w:eastAsia="仿宋"/>
          <w:sz w:val="28"/>
          <w:szCs w:val="28"/>
        </w:rPr>
        <w:t>026</w:t>
      </w:r>
      <w:r>
        <w:rPr>
          <w:rFonts w:hint="eastAsia" w:ascii="仿宋" w:hAnsi="仿宋" w:eastAsia="仿宋"/>
          <w:sz w:val="28"/>
          <w:szCs w:val="28"/>
        </w:rPr>
        <w:t>　年　　月　　日</w:t>
      </w:r>
    </w:p>
    <w:p w14:paraId="27B84E9A">
      <w:pPr>
        <w:rPr>
          <w:rFonts w:ascii="仿宋" w:hAnsi="仿宋" w:eastAsia="仿宋"/>
          <w:sz w:val="28"/>
          <w:szCs w:val="28"/>
        </w:rPr>
      </w:pPr>
    </w:p>
    <w:p w14:paraId="6C47C1D3">
      <w:pPr>
        <w:rPr>
          <w:rFonts w:ascii="仿宋" w:hAnsi="仿宋" w:eastAsia="仿宋"/>
          <w:sz w:val="28"/>
          <w:szCs w:val="28"/>
        </w:rPr>
      </w:pPr>
      <w:r>
        <w:rPr>
          <w:rFonts w:ascii="仿宋" w:hAnsi="仿宋" w:eastAsia="仿宋"/>
          <w:sz w:val="28"/>
          <w:szCs w:val="28"/>
        </w:rPr>
        <w:br w:type="column"/>
      </w:r>
      <w:r>
        <w:rPr>
          <w:rFonts w:hint="eastAsia" w:ascii="仿宋" w:hAnsi="仿宋" w:eastAsia="仿宋"/>
          <w:sz w:val="28"/>
          <w:szCs w:val="28"/>
        </w:rPr>
        <w:t>采购人（甲方）：甘孜州海螺沟冰川实业有限公司　　　</w:t>
      </w:r>
    </w:p>
    <w:p w14:paraId="17E3BD6E">
      <w:pPr>
        <w:rPr>
          <w:rFonts w:ascii="仿宋" w:hAnsi="仿宋" w:eastAsia="仿宋"/>
          <w:sz w:val="28"/>
          <w:szCs w:val="28"/>
        </w:rPr>
      </w:pPr>
      <w:r>
        <w:rPr>
          <w:rFonts w:hint="eastAsia" w:ascii="仿宋" w:hAnsi="仿宋" w:eastAsia="仿宋"/>
          <w:sz w:val="28"/>
          <w:szCs w:val="28"/>
        </w:rPr>
        <w:t>供应商（乙方）：　　　　</w:t>
      </w:r>
    </w:p>
    <w:p w14:paraId="021E5BA1">
      <w:pPr>
        <w:ind w:firstLine="560" w:firstLineChars="200"/>
        <w:rPr>
          <w:rFonts w:ascii="仿宋" w:hAnsi="仿宋" w:eastAsia="仿宋"/>
          <w:sz w:val="28"/>
          <w:szCs w:val="28"/>
        </w:rPr>
      </w:pPr>
      <w:r>
        <w:rPr>
          <w:rFonts w:hint="eastAsia" w:ascii="仿宋" w:hAnsi="仿宋" w:eastAsia="仿宋"/>
          <w:sz w:val="28"/>
          <w:szCs w:val="28"/>
        </w:rPr>
        <w:t>依据《中华人民共和国民法典》《中华人民共和国政府采购法》与项目行业有关的法律法规，以及海螺沟景区游客中心建设项目和海螺沟景区游客中心综合提升及配套基础设施完善项目打捆建设项目水土保持验收服务的《比选文件》，乙方的《响应文件》及《中选通知书》，甲、乙双方同意签订本合同。详细技术说明及其他有关合同项目的特定信息由合同附件予以说明，合同附件及本项目的《比选文件》，乙方的《响应文件》及《中选通知书》，等均为本合同的组成部分。</w:t>
      </w:r>
    </w:p>
    <w:p w14:paraId="61ADEAC1">
      <w:pPr>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b/>
          <w:sz w:val="28"/>
          <w:szCs w:val="28"/>
        </w:rPr>
        <w:t>第一条</w:t>
      </w:r>
      <w:r>
        <w:rPr>
          <w:rFonts w:hint="eastAsia" w:ascii="仿宋" w:hAnsi="仿宋" w:eastAsia="仿宋"/>
          <w:sz w:val="28"/>
          <w:szCs w:val="28"/>
        </w:rPr>
        <w:t xml:space="preserve"> </w:t>
      </w:r>
      <w:r>
        <w:rPr>
          <w:rFonts w:hint="eastAsia" w:ascii="仿宋" w:hAnsi="仿宋" w:eastAsia="仿宋"/>
          <w:b/>
          <w:sz w:val="28"/>
          <w:szCs w:val="28"/>
        </w:rPr>
        <w:t>合同工作内容</w:t>
      </w:r>
    </w:p>
    <w:p w14:paraId="671E1848">
      <w:pPr>
        <w:ind w:firstLine="560" w:firstLineChars="200"/>
        <w:rPr>
          <w:rFonts w:hint="eastAsia" w:ascii="仿宋" w:hAnsi="仿宋" w:eastAsia="仿宋"/>
          <w:sz w:val="28"/>
          <w:szCs w:val="28"/>
        </w:rPr>
      </w:pPr>
      <w:r>
        <w:rPr>
          <w:rFonts w:hint="eastAsia" w:ascii="仿宋" w:hAnsi="仿宋" w:eastAsia="仿宋"/>
          <w:sz w:val="28"/>
          <w:szCs w:val="28"/>
        </w:rPr>
        <w:t>依据《甘孜州水利局关于对&lt;海螺沟景区游客中心建设项目水士保持方案备案&gt;审批准予行政许可决定书》、《泸定县水利局关于&lt;海螺沟景区游客中心综合提升及配套基础设施完善项目水土保持方案报告书&gt;的批复》等文件，开展上述项目的水土保持验收工作，包括但不限于一下服务内容：</w:t>
      </w:r>
    </w:p>
    <w:p w14:paraId="4CCF2C1E">
      <w:pPr>
        <w:ind w:firstLine="560" w:firstLineChars="200"/>
        <w:rPr>
          <w:rFonts w:hint="eastAsia" w:ascii="仿宋" w:hAnsi="仿宋" w:eastAsia="仿宋"/>
          <w:sz w:val="28"/>
          <w:szCs w:val="28"/>
        </w:rPr>
      </w:pPr>
      <w:r>
        <w:rPr>
          <w:rFonts w:hint="eastAsia" w:ascii="仿宋" w:hAnsi="仿宋" w:eastAsia="仿宋"/>
          <w:sz w:val="28"/>
          <w:szCs w:val="28"/>
        </w:rPr>
        <w:t>（1）开展水土保持设施验收现场勘查，全面评估水土保持设施建设情况与存在的问题，提供水土保持措施的技术咨询与服务；</w:t>
      </w:r>
    </w:p>
    <w:p w14:paraId="731BB740">
      <w:pPr>
        <w:ind w:firstLine="560" w:firstLineChars="200"/>
        <w:rPr>
          <w:rFonts w:hint="eastAsia" w:ascii="仿宋" w:hAnsi="仿宋" w:eastAsia="仿宋"/>
          <w:sz w:val="28"/>
          <w:szCs w:val="28"/>
        </w:rPr>
      </w:pPr>
      <w:r>
        <w:rPr>
          <w:rFonts w:hint="eastAsia" w:ascii="仿宋" w:hAnsi="仿宋" w:eastAsia="仿宋"/>
          <w:sz w:val="28"/>
          <w:szCs w:val="28"/>
        </w:rPr>
        <w:t>（2）开展水土保持设施验收评估工作，包括水土流失防治目标实现情况评估，水土保持设施建设管理评估，水土保持设施运行及管理情况评估等；</w:t>
      </w:r>
    </w:p>
    <w:p w14:paraId="651432A2">
      <w:pPr>
        <w:ind w:firstLine="560" w:firstLineChars="200"/>
        <w:rPr>
          <w:rFonts w:hint="eastAsia" w:ascii="仿宋" w:hAnsi="仿宋" w:eastAsia="仿宋"/>
          <w:sz w:val="28"/>
          <w:szCs w:val="28"/>
        </w:rPr>
      </w:pPr>
      <w:r>
        <w:rPr>
          <w:rFonts w:hint="eastAsia" w:ascii="仿宋" w:hAnsi="仿宋" w:eastAsia="仿宋"/>
          <w:sz w:val="28"/>
          <w:szCs w:val="28"/>
        </w:rPr>
        <w:t>（3）协助甲方分项目完成水土保持设施自主验收工作，提供书面水土保持设施验收鉴定书、水土保持验收报告(如有)；</w:t>
      </w:r>
    </w:p>
    <w:p w14:paraId="2334E617">
      <w:pPr>
        <w:ind w:firstLine="560" w:firstLineChars="200"/>
        <w:rPr>
          <w:rFonts w:hint="eastAsia" w:ascii="仿宋" w:hAnsi="仿宋" w:eastAsia="仿宋"/>
          <w:sz w:val="28"/>
          <w:szCs w:val="28"/>
        </w:rPr>
      </w:pPr>
      <w:r>
        <w:rPr>
          <w:rFonts w:hint="eastAsia" w:ascii="仿宋" w:hAnsi="仿宋" w:eastAsia="仿宋"/>
          <w:sz w:val="28"/>
          <w:szCs w:val="28"/>
        </w:rPr>
        <w:t>（4）协助甲方组建验收组，并开展水土保持设施竣工验收。乙方应自费委托至少一名省级水行政主管部门水土保持方案专家库专家参加验收组并签署意见。</w:t>
      </w:r>
    </w:p>
    <w:p w14:paraId="47C47629">
      <w:pPr>
        <w:ind w:firstLine="560" w:firstLineChars="200"/>
        <w:rPr>
          <w:rFonts w:ascii="仿宋" w:hAnsi="仿宋" w:eastAsia="仿宋"/>
          <w:sz w:val="28"/>
          <w:szCs w:val="28"/>
        </w:rPr>
      </w:pPr>
      <w:r>
        <w:rPr>
          <w:rFonts w:hint="eastAsia" w:ascii="仿宋" w:hAnsi="仿宋" w:eastAsia="仿宋"/>
          <w:sz w:val="28"/>
          <w:szCs w:val="28"/>
        </w:rPr>
        <w:t>（5）协助甲方向社会公示水土保持设施验收鉴定书或水土保持验收报告等水土保持设施验收材料；协助甲方向审批水土保持方案的水行政主管部门或者水土保持方案审批机关的同级水行政主管部门报备水土保持设施验收材料，取得水土保持设施验收报备回执。</w:t>
      </w:r>
    </w:p>
    <w:p w14:paraId="56F5D431">
      <w:pPr>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b/>
          <w:sz w:val="28"/>
          <w:szCs w:val="28"/>
        </w:rPr>
        <w:t>第二条</w:t>
      </w:r>
      <w:r>
        <w:rPr>
          <w:rFonts w:hint="eastAsia" w:ascii="仿宋" w:hAnsi="仿宋" w:eastAsia="仿宋"/>
          <w:sz w:val="28"/>
          <w:szCs w:val="28"/>
        </w:rPr>
        <w:t xml:space="preserve"> 服务</w:t>
      </w:r>
      <w:r>
        <w:rPr>
          <w:rFonts w:hint="eastAsia" w:ascii="仿宋" w:hAnsi="仿宋" w:eastAsia="仿宋"/>
          <w:b/>
          <w:sz w:val="28"/>
          <w:szCs w:val="28"/>
        </w:rPr>
        <w:t>评价要求</w:t>
      </w:r>
    </w:p>
    <w:p w14:paraId="62EC64B0">
      <w:pPr>
        <w:kinsoku w:val="0"/>
        <w:autoSpaceDE w:val="0"/>
        <w:autoSpaceDN w:val="0"/>
        <w:adjustRightInd w:val="0"/>
        <w:snapToGrid w:val="0"/>
        <w:spacing w:before="210" w:line="560" w:lineRule="exact"/>
        <w:ind w:firstLine="560" w:firstLineChars="200"/>
        <w:textAlignment w:val="baseline"/>
        <w:rPr>
          <w:rFonts w:ascii="仿宋" w:hAnsi="仿宋" w:eastAsia="仿宋"/>
          <w:sz w:val="28"/>
          <w:szCs w:val="28"/>
        </w:rPr>
      </w:pPr>
      <w:r>
        <w:rPr>
          <w:rFonts w:hint="eastAsia" w:ascii="仿宋" w:hAnsi="仿宋" w:eastAsia="仿宋"/>
          <w:sz w:val="28"/>
          <w:szCs w:val="28"/>
        </w:rPr>
        <w:t xml:space="preserve">    1、乙方以</w:t>
      </w:r>
      <w:r>
        <w:rPr>
          <w:rFonts w:hint="eastAsia" w:ascii="仿宋" w:hAnsi="仿宋" w:eastAsia="仿宋" w:cstheme="minorBidi"/>
          <w:b w:val="0"/>
          <w:bCs w:val="0"/>
          <w:kern w:val="2"/>
          <w:sz w:val="28"/>
          <w:szCs w:val="28"/>
          <w:u w:val="none"/>
          <w:lang w:val="en-US" w:eastAsia="zh-CN"/>
        </w:rPr>
        <w:t>《中华人民共和国水土保持法》、《四川省〈中华人民共和国水土保持法〉实施办法》、《生产建设项目水土保持方案管理办法》、《水利部办公厅关于水保监督管理办法的通知》（办水保【2019】172号）、《水利部办公厅关于印发生产建设项目水土保持设施自主验收规程（试行）的通知》（办水保【2018】133号）等</w:t>
      </w:r>
      <w:r>
        <w:rPr>
          <w:rFonts w:hint="eastAsia" w:ascii="仿宋" w:hAnsi="仿宋" w:eastAsia="仿宋"/>
          <w:sz w:val="28"/>
          <w:szCs w:val="28"/>
        </w:rPr>
        <w:t>现行的国家、地方、行业有关的法律、法规及标准为依据，评价甲方在水土保持的建设情况与存在问题及是否符合相关要求；</w:t>
      </w:r>
    </w:p>
    <w:p w14:paraId="78821120">
      <w:pPr>
        <w:ind w:firstLine="560"/>
        <w:rPr>
          <w:rFonts w:ascii="仿宋" w:hAnsi="仿宋" w:eastAsia="仿宋"/>
          <w:sz w:val="28"/>
          <w:szCs w:val="28"/>
        </w:rPr>
      </w:pPr>
      <w:r>
        <w:rPr>
          <w:rFonts w:hint="eastAsia" w:ascii="仿宋" w:hAnsi="仿宋" w:eastAsia="仿宋"/>
          <w:sz w:val="28"/>
          <w:szCs w:val="28"/>
        </w:rPr>
        <w:t>2、服务期限：乙方履行义务及承担的工作任务与责任,应从合同生效之日起直至取得主管部门验收报备回执止。</w:t>
      </w:r>
    </w:p>
    <w:p w14:paraId="207378F8">
      <w:pPr>
        <w:ind w:firstLine="560"/>
        <w:rPr>
          <w:rFonts w:hint="eastAsia" w:ascii="仿宋" w:hAnsi="仿宋" w:eastAsia="仿宋"/>
          <w:sz w:val="28"/>
          <w:szCs w:val="28"/>
          <w:u w:val="none"/>
        </w:rPr>
      </w:pPr>
      <w:r>
        <w:rPr>
          <w:rFonts w:hint="eastAsia" w:ascii="仿宋" w:hAnsi="仿宋" w:eastAsia="仿宋"/>
          <w:sz w:val="28"/>
          <w:szCs w:val="28"/>
        </w:rPr>
        <w:t>3、乙方向甲方提供</w:t>
      </w:r>
      <w:r>
        <w:rPr>
          <w:rFonts w:hint="eastAsia" w:ascii="仿宋" w:hAnsi="仿宋" w:eastAsia="仿宋" w:cstheme="minorBidi"/>
          <w:b w:val="0"/>
          <w:bCs w:val="0"/>
          <w:kern w:val="2"/>
          <w:sz w:val="28"/>
          <w:szCs w:val="28"/>
          <w:u w:val="none"/>
          <w:lang w:val="en-US" w:eastAsia="zh-CN"/>
        </w:rPr>
        <w:t>水土保持设施验收鉴定书或水土保持验收报告</w:t>
      </w:r>
      <w:r>
        <w:rPr>
          <w:rFonts w:hint="eastAsia" w:ascii="仿宋" w:hAnsi="仿宋" w:eastAsia="仿宋"/>
          <w:sz w:val="28"/>
          <w:szCs w:val="28"/>
        </w:rPr>
        <w:t>成果文件纸质文件</w:t>
      </w:r>
      <w:r>
        <w:rPr>
          <w:rFonts w:hint="eastAsia" w:ascii="仿宋" w:hAnsi="仿宋" w:eastAsia="仿宋"/>
          <w:sz w:val="28"/>
          <w:szCs w:val="28"/>
          <w:u w:val="none"/>
        </w:rPr>
        <w:t>叁份以及电子书壹份;</w:t>
      </w:r>
    </w:p>
    <w:p w14:paraId="2CBD401E">
      <w:pPr>
        <w:ind w:firstLine="560" w:firstLineChars="200"/>
        <w:rPr>
          <w:rFonts w:ascii="仿宋" w:hAnsi="仿宋" w:eastAsia="仿宋"/>
          <w:sz w:val="28"/>
          <w:szCs w:val="28"/>
        </w:rPr>
      </w:pPr>
      <w:r>
        <w:rPr>
          <w:rFonts w:hint="eastAsia" w:ascii="仿宋" w:hAnsi="仿宋" w:eastAsia="仿宋"/>
          <w:sz w:val="28"/>
          <w:szCs w:val="28"/>
        </w:rPr>
        <w:t>4、水土保持设施验收鉴定书在达到验收条件后</w:t>
      </w:r>
      <w:r>
        <w:rPr>
          <w:rFonts w:hint="eastAsia" w:ascii="仿宋" w:hAnsi="仿宋" w:eastAsia="仿宋"/>
          <w:sz w:val="28"/>
          <w:szCs w:val="28"/>
          <w:u w:val="single"/>
        </w:rPr>
        <w:t>30个日历天内</w:t>
      </w:r>
      <w:r>
        <w:rPr>
          <w:rFonts w:hint="eastAsia" w:ascii="仿宋" w:hAnsi="仿宋" w:eastAsia="仿宋"/>
          <w:sz w:val="28"/>
          <w:szCs w:val="28"/>
        </w:rPr>
        <w:t>完成编制，提交经省水保专家评审合格，并配合甲方完成水土保持设施验收工作。</w:t>
      </w:r>
    </w:p>
    <w:p w14:paraId="735193B7">
      <w:pPr>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b/>
          <w:sz w:val="28"/>
          <w:szCs w:val="28"/>
        </w:rPr>
        <w:t>第三条</w:t>
      </w:r>
      <w:r>
        <w:rPr>
          <w:rFonts w:hint="eastAsia" w:ascii="仿宋" w:hAnsi="仿宋" w:eastAsia="仿宋"/>
          <w:sz w:val="28"/>
          <w:szCs w:val="28"/>
        </w:rPr>
        <w:t xml:space="preserve"> </w:t>
      </w:r>
      <w:r>
        <w:rPr>
          <w:rFonts w:hint="eastAsia" w:ascii="仿宋" w:hAnsi="仿宋" w:eastAsia="仿宋"/>
          <w:b/>
          <w:sz w:val="28"/>
          <w:szCs w:val="28"/>
        </w:rPr>
        <w:t>技术服务费及付款方式</w:t>
      </w:r>
    </w:p>
    <w:p w14:paraId="1B9CC500">
      <w:pPr>
        <w:ind w:firstLine="560"/>
        <w:rPr>
          <w:rFonts w:ascii="仿宋" w:hAnsi="仿宋" w:eastAsia="仿宋"/>
          <w:sz w:val="28"/>
          <w:szCs w:val="28"/>
        </w:rPr>
      </w:pPr>
      <w:r>
        <w:rPr>
          <w:rFonts w:hint="eastAsia" w:ascii="仿宋" w:hAnsi="仿宋" w:eastAsia="仿宋"/>
          <w:sz w:val="28"/>
          <w:szCs w:val="28"/>
        </w:rPr>
        <w:t>1、本项目技术服务费总额为</w:t>
      </w:r>
      <w:r>
        <w:rPr>
          <w:rFonts w:hint="eastAsia" w:ascii="仿宋" w:hAnsi="仿宋" w:eastAsia="仿宋"/>
          <w:sz w:val="28"/>
          <w:szCs w:val="28"/>
          <w:u w:val="single"/>
        </w:rPr>
        <w:t xml:space="preserve">  </w:t>
      </w:r>
      <w:r>
        <w:rPr>
          <w:rFonts w:hint="eastAsia" w:ascii="宋体" w:hAnsi="宋体" w:eastAsia="宋体" w:cs="宋体"/>
          <w:sz w:val="28"/>
          <w:szCs w:val="28"/>
          <w:u w:val="single"/>
        </w:rPr>
        <w:t>￥</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元(大写:</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整</w:t>
      </w:r>
      <w:r>
        <w:rPr>
          <w:rFonts w:ascii="仿宋" w:hAnsi="仿宋" w:eastAsia="仿宋"/>
          <w:sz w:val="28"/>
          <w:szCs w:val="28"/>
          <w:u w:val="single"/>
        </w:rPr>
        <w:t>)</w:t>
      </w:r>
      <w:r>
        <w:rPr>
          <w:rFonts w:hint="eastAsia" w:ascii="仿宋" w:hAnsi="仿宋" w:eastAsia="仿宋"/>
          <w:sz w:val="28"/>
          <w:szCs w:val="28"/>
        </w:rPr>
        <w:t>该费用为含税包干价，包括全部服务内容、人工及专家评审、设备、交通、保险、食宿及相关劳务支出、勘测费用、数据处理费、鉴定书编制费等所发生的全部费用以及供应商企业利润、税金和政策性文件规定及合同包含的所有风险、责任、代理费等各项应有费用以及其它应纳入的一切费用。甲方无需支付乙方除此费用外的其他任何费用。</w:t>
      </w:r>
    </w:p>
    <w:p w14:paraId="38E9C194">
      <w:pPr>
        <w:spacing w:line="360" w:lineRule="auto"/>
        <w:ind w:firstLine="560" w:firstLineChars="200"/>
        <w:rPr>
          <w:rFonts w:ascii="仿宋" w:hAnsi="仿宋" w:eastAsia="仿宋"/>
          <w:sz w:val="28"/>
          <w:szCs w:val="28"/>
        </w:rPr>
      </w:pPr>
      <w:r>
        <w:rPr>
          <w:rFonts w:hint="eastAsia" w:ascii="仿宋" w:hAnsi="仿宋" w:eastAsia="仿宋"/>
          <w:sz w:val="28"/>
          <w:szCs w:val="28"/>
        </w:rPr>
        <w:t>2、技术服务费支付方式</w:t>
      </w:r>
    </w:p>
    <w:p w14:paraId="2E55D99F">
      <w:pPr>
        <w:spacing w:line="360" w:lineRule="auto"/>
        <w:ind w:firstLine="560" w:firstLineChars="200"/>
        <w:rPr>
          <w:rFonts w:ascii="仿宋" w:hAnsi="仿宋" w:eastAsia="仿宋"/>
          <w:sz w:val="28"/>
          <w:szCs w:val="28"/>
        </w:rPr>
      </w:pPr>
      <w:r>
        <w:rPr>
          <w:rFonts w:hint="eastAsia" w:ascii="仿宋" w:hAnsi="仿宋" w:eastAsia="仿宋"/>
          <w:sz w:val="28"/>
          <w:szCs w:val="28"/>
        </w:rPr>
        <w:t>①</w:t>
      </w:r>
      <w:r>
        <w:rPr>
          <w:rFonts w:hint="eastAsia" w:ascii="仿宋" w:hAnsi="仿宋" w:eastAsia="仿宋" w:cstheme="minorBidi"/>
          <w:b w:val="0"/>
          <w:bCs w:val="0"/>
          <w:kern w:val="2"/>
          <w:sz w:val="28"/>
          <w:szCs w:val="28"/>
          <w:u w:val="none"/>
          <w:lang w:val="en-US" w:eastAsia="zh-CN"/>
        </w:rPr>
        <w:t>水保验收资料报送后，取得水行政主管部门水土保持设施验收报备回执后,甲方按照单个项目分别向乙方支付10</w:t>
      </w:r>
      <w:r>
        <w:rPr>
          <w:rFonts w:hint="eastAsia" w:ascii="仿宋" w:hAnsi="仿宋" w:eastAsia="仿宋" w:cstheme="minorBidi"/>
          <w:b w:val="0"/>
          <w:bCs w:val="0"/>
          <w:kern w:val="2"/>
          <w:sz w:val="28"/>
          <w:szCs w:val="28"/>
          <w:u w:val="none"/>
          <w:lang w:val="en-US" w:eastAsia="zh-CN"/>
        </w:rPr>
        <w:t>0%技术服务费。</w:t>
      </w:r>
      <w:r>
        <w:rPr>
          <w:rFonts w:hint="eastAsia" w:ascii="仿宋" w:hAnsi="仿宋" w:eastAsia="仿宋"/>
          <w:sz w:val="28"/>
          <w:szCs w:val="28"/>
          <w:u w:val="none"/>
        </w:rPr>
        <w:t xml:space="preserve">，即人民币  ￥ </w:t>
      </w:r>
      <w:r>
        <w:rPr>
          <w:rFonts w:hint="eastAsia" w:ascii="仿宋" w:hAnsi="仿宋" w:eastAsia="仿宋"/>
          <w:sz w:val="28"/>
          <w:szCs w:val="28"/>
          <w:u w:val="none"/>
          <w:lang w:val="en-US" w:eastAsia="zh-CN"/>
        </w:rPr>
        <w:t xml:space="preserve">    </w:t>
      </w:r>
      <w:r>
        <w:rPr>
          <w:rFonts w:hint="eastAsia" w:ascii="仿宋" w:hAnsi="仿宋" w:eastAsia="仿宋"/>
          <w:sz w:val="28"/>
          <w:szCs w:val="28"/>
          <w:u w:val="none"/>
        </w:rPr>
        <w:t xml:space="preserve"> 元(大写： </w:t>
      </w:r>
      <w:r>
        <w:rPr>
          <w:rFonts w:hint="eastAsia" w:ascii="仿宋" w:hAnsi="仿宋" w:eastAsia="仿宋"/>
          <w:sz w:val="28"/>
          <w:szCs w:val="28"/>
          <w:u w:val="none"/>
          <w:lang w:val="en-US" w:eastAsia="zh-CN"/>
        </w:rPr>
        <w:t xml:space="preserve">     </w:t>
      </w:r>
      <w:r>
        <w:rPr>
          <w:rFonts w:hint="eastAsia" w:ascii="仿宋" w:hAnsi="仿宋" w:eastAsia="仿宋"/>
          <w:sz w:val="28"/>
          <w:szCs w:val="28"/>
          <w:u w:val="none"/>
        </w:rPr>
        <w:t>元整)；</w:t>
      </w:r>
      <w:r>
        <w:rPr>
          <w:rFonts w:hint="eastAsia" w:ascii="仿宋" w:hAnsi="仿宋" w:eastAsia="仿宋" w:cstheme="minorBidi"/>
          <w:snapToGrid/>
          <w:spacing w:val="0"/>
          <w:kern w:val="2"/>
          <w:sz w:val="28"/>
          <w:szCs w:val="28"/>
          <w:u w:val="none"/>
          <w:lang w:eastAsia="zh-CN"/>
        </w:rPr>
        <w:t>（</w:t>
      </w:r>
      <w:r>
        <w:rPr>
          <w:rFonts w:hint="eastAsia" w:ascii="仿宋" w:hAnsi="仿宋" w:eastAsia="仿宋" w:cstheme="minorBidi"/>
          <w:snapToGrid/>
          <w:spacing w:val="0"/>
          <w:kern w:val="2"/>
          <w:sz w:val="28"/>
          <w:szCs w:val="28"/>
          <w:u w:val="none"/>
          <w:lang w:val="en-US" w:eastAsia="zh-CN"/>
        </w:rPr>
        <w:t>其中，</w:t>
      </w:r>
      <w:r>
        <w:rPr>
          <w:rFonts w:hint="eastAsia" w:ascii="仿宋" w:hAnsi="仿宋" w:eastAsia="仿宋" w:cstheme="minorBidi"/>
          <w:snapToGrid/>
          <w:kern w:val="2"/>
          <w:sz w:val="28"/>
          <w:szCs w:val="28"/>
          <w:u w:val="none"/>
          <w:lang w:val="en-US" w:eastAsia="zh-CN" w:bidi="ar"/>
        </w:rPr>
        <w:t>海螺沟景区游客中心建设项目：</w:t>
      </w:r>
      <w:r>
        <w:rPr>
          <w:rFonts w:hint="eastAsia" w:ascii="仿宋" w:hAnsi="仿宋" w:eastAsia="仿宋" w:cstheme="minorBidi"/>
          <w:snapToGrid/>
          <w:kern w:val="2"/>
          <w:sz w:val="28"/>
          <w:szCs w:val="28"/>
          <w:u w:val="none"/>
          <w:lang w:val="en-US" w:eastAsia="zh-CN" w:bidi="ar"/>
        </w:rPr>
        <w:t xml:space="preserve">       </w:t>
      </w:r>
      <w:r>
        <w:rPr>
          <w:rFonts w:hint="eastAsia" w:ascii="仿宋" w:hAnsi="仿宋" w:eastAsia="仿宋" w:cstheme="minorBidi"/>
          <w:snapToGrid/>
          <w:kern w:val="2"/>
          <w:sz w:val="28"/>
          <w:szCs w:val="28"/>
          <w:u w:val="none"/>
          <w:lang w:val="en-US" w:eastAsia="zh-CN" w:bidi="ar"/>
        </w:rPr>
        <w:t>元；海螺沟景区游客中心综合提升及配套基础设施完善项目：</w:t>
      </w:r>
      <w:r>
        <w:rPr>
          <w:rFonts w:hint="eastAsia" w:ascii="仿宋" w:hAnsi="仿宋" w:eastAsia="仿宋" w:cstheme="minorBidi"/>
          <w:snapToGrid/>
          <w:kern w:val="2"/>
          <w:sz w:val="28"/>
          <w:szCs w:val="28"/>
          <w:u w:val="none"/>
          <w:lang w:val="en-US" w:eastAsia="zh-CN" w:bidi="ar"/>
        </w:rPr>
        <w:t xml:space="preserve">        </w:t>
      </w:r>
      <w:r>
        <w:rPr>
          <w:rFonts w:hint="eastAsia" w:ascii="仿宋" w:hAnsi="仿宋" w:eastAsia="仿宋" w:cstheme="minorBidi"/>
          <w:snapToGrid/>
          <w:kern w:val="2"/>
          <w:sz w:val="28"/>
          <w:szCs w:val="28"/>
          <w:u w:val="none"/>
          <w:lang w:val="en-US" w:eastAsia="zh-CN" w:bidi="ar"/>
        </w:rPr>
        <w:t>元</w:t>
      </w:r>
      <w:r>
        <w:rPr>
          <w:rFonts w:hint="eastAsia" w:ascii="仿宋" w:hAnsi="仿宋" w:eastAsia="仿宋" w:cstheme="minorBidi"/>
          <w:snapToGrid/>
          <w:spacing w:val="0"/>
          <w:kern w:val="2"/>
          <w:sz w:val="28"/>
          <w:szCs w:val="28"/>
          <w:u w:val="none"/>
          <w:lang w:eastAsia="zh-CN"/>
        </w:rPr>
        <w:t>）</w:t>
      </w:r>
    </w:p>
    <w:p w14:paraId="6C6E2034">
      <w:pPr>
        <w:spacing w:line="360" w:lineRule="auto"/>
        <w:ind w:firstLine="560" w:firstLineChars="200"/>
        <w:rPr>
          <w:rFonts w:ascii="仿宋" w:hAnsi="仿宋" w:eastAsia="仿宋"/>
          <w:sz w:val="28"/>
          <w:szCs w:val="28"/>
        </w:rPr>
      </w:pPr>
      <w:r>
        <w:rPr>
          <w:rFonts w:hint="eastAsia" w:ascii="仿宋" w:hAnsi="仿宋" w:eastAsia="仿宋"/>
          <w:sz w:val="28"/>
          <w:szCs w:val="28"/>
        </w:rPr>
        <w:t>②支付方式：银行转账。乙方必须按甲方要求提前7日提供完善请款资料（含专用发票），请款资料签章后30日内支付请款金额。乙方未提供或提供的上述资料不符合要求的，甲方有权顺延付款时间并不承担违约责任。</w:t>
      </w:r>
    </w:p>
    <w:p w14:paraId="6834D759">
      <w:pPr>
        <w:ind w:firstLine="560" w:firstLineChars="200"/>
        <w:rPr>
          <w:rFonts w:ascii="仿宋" w:hAnsi="仿宋" w:eastAsia="仿宋"/>
          <w:sz w:val="28"/>
          <w:szCs w:val="28"/>
        </w:rPr>
      </w:pPr>
      <w:r>
        <w:rPr>
          <w:rFonts w:hint="eastAsia" w:ascii="仿宋" w:hAnsi="仿宋" w:eastAsia="仿宋"/>
          <w:sz w:val="28"/>
          <w:szCs w:val="28"/>
        </w:rPr>
        <w:t>③如甲方在合同执行过程中《水土保持评价报告》审查权限,或立项金额,或立项审批权限或立项面积发生变化后,技术服务费需重新商议。</w:t>
      </w:r>
    </w:p>
    <w:p w14:paraId="6A0FF572">
      <w:pPr>
        <w:ind w:firstLine="560"/>
        <w:rPr>
          <w:rFonts w:ascii="仿宋" w:hAnsi="仿宋" w:eastAsia="仿宋"/>
          <w:sz w:val="28"/>
          <w:szCs w:val="28"/>
          <w:highlight w:val="none"/>
        </w:rPr>
      </w:pPr>
      <w:r>
        <w:rPr>
          <w:rFonts w:hint="eastAsia" w:ascii="仿宋" w:hAnsi="仿宋" w:eastAsia="仿宋"/>
          <w:sz w:val="28"/>
          <w:szCs w:val="28"/>
          <w:highlight w:val="none"/>
        </w:rPr>
        <w:t>3、乙方账户信息：</w:t>
      </w:r>
    </w:p>
    <w:p w14:paraId="01480FBA">
      <w:pPr>
        <w:ind w:firstLine="560"/>
        <w:rPr>
          <w:rFonts w:ascii="仿宋" w:hAnsi="仿宋" w:eastAsia="仿宋"/>
          <w:sz w:val="28"/>
          <w:szCs w:val="28"/>
          <w:highlight w:val="none"/>
        </w:rPr>
      </w:pPr>
      <w:r>
        <w:rPr>
          <w:rFonts w:hint="eastAsia" w:ascii="仿宋" w:hAnsi="仿宋" w:eastAsia="仿宋"/>
          <w:sz w:val="28"/>
          <w:szCs w:val="28"/>
          <w:highlight w:val="none"/>
        </w:rPr>
        <w:t>账户名称：</w:t>
      </w:r>
    </w:p>
    <w:p w14:paraId="449008F8">
      <w:pPr>
        <w:ind w:firstLine="560"/>
        <w:rPr>
          <w:rFonts w:ascii="仿宋" w:hAnsi="仿宋" w:eastAsia="仿宋"/>
          <w:sz w:val="28"/>
          <w:szCs w:val="28"/>
          <w:highlight w:val="none"/>
        </w:rPr>
      </w:pPr>
      <w:r>
        <w:rPr>
          <w:rFonts w:hint="eastAsia" w:ascii="仿宋" w:hAnsi="仿宋" w:eastAsia="仿宋"/>
          <w:sz w:val="28"/>
          <w:szCs w:val="28"/>
          <w:highlight w:val="none"/>
        </w:rPr>
        <w:t>账户号码：</w:t>
      </w:r>
    </w:p>
    <w:p w14:paraId="0133A4D9">
      <w:pPr>
        <w:ind w:firstLine="560"/>
        <w:rPr>
          <w:rFonts w:ascii="仿宋" w:hAnsi="仿宋" w:eastAsia="仿宋"/>
          <w:sz w:val="28"/>
          <w:szCs w:val="28"/>
          <w:highlight w:val="red"/>
        </w:rPr>
      </w:pPr>
      <w:r>
        <w:rPr>
          <w:rFonts w:hint="eastAsia" w:ascii="仿宋" w:hAnsi="仿宋" w:eastAsia="仿宋"/>
          <w:sz w:val="28"/>
          <w:szCs w:val="28"/>
          <w:highlight w:val="none"/>
        </w:rPr>
        <w:t>开户银行：</w:t>
      </w:r>
    </w:p>
    <w:p w14:paraId="33B9C691">
      <w:pPr>
        <w:spacing w:line="360" w:lineRule="auto"/>
        <w:outlineLvl w:val="0"/>
        <w:rPr>
          <w:rFonts w:ascii="Times New Roman" w:hAnsi="Times New Roman" w:eastAsia="宋体"/>
          <w:b/>
          <w:sz w:val="24"/>
          <w:szCs w:val="24"/>
        </w:rPr>
      </w:pPr>
      <w:r>
        <w:rPr>
          <w:rFonts w:hint="eastAsia" w:ascii="仿宋" w:hAnsi="仿宋" w:eastAsia="仿宋"/>
          <w:b/>
          <w:sz w:val="28"/>
          <w:szCs w:val="28"/>
        </w:rPr>
        <w:t xml:space="preserve">第四条 </w:t>
      </w:r>
      <w:r>
        <w:rPr>
          <w:rFonts w:ascii="宋体" w:hAnsi="Times New Roman" w:eastAsia="宋体"/>
          <w:b/>
          <w:sz w:val="24"/>
          <w:szCs w:val="24"/>
        </w:rPr>
        <w:t>知识产权</w:t>
      </w:r>
    </w:p>
    <w:p w14:paraId="2502B54D">
      <w:pPr>
        <w:ind w:firstLine="560" w:firstLineChars="200"/>
        <w:rPr>
          <w:rFonts w:ascii="仿宋" w:hAnsi="仿宋" w:eastAsia="仿宋"/>
          <w:sz w:val="28"/>
          <w:szCs w:val="28"/>
        </w:rPr>
      </w:pPr>
      <w:r>
        <w:rPr>
          <w:rFonts w:hint="eastAsia" w:ascii="仿宋" w:hAnsi="仿宋" w:eastAsia="仿宋"/>
          <w:sz w:val="28"/>
          <w:szCs w:val="28"/>
        </w:rPr>
        <w:t>1、乙方应保证所提供的服务或其任何一部分均不会侵犯任何第三方的专利权、商标权或著作权。乙方只能将所有成果（包括过程成果、衍生成果）提供给甲方，未经甲方许可，不得擅自将任何成果以任何方式提交给第三方。乙方对成果数据不拥有复制、传播、出版、翻译成外国语言等权利，不得以商业目的使用该数据。乙方对甲方提供的资料负有保密责任，委托工作完成后，乙方根据甲方的指示归还或及时销毁甲方提供的全部资料。</w:t>
      </w:r>
    </w:p>
    <w:p w14:paraId="6B20E156">
      <w:pPr>
        <w:ind w:firstLine="560" w:firstLineChars="200"/>
        <w:rPr>
          <w:rFonts w:ascii="仿宋" w:hAnsi="仿宋" w:eastAsia="仿宋"/>
          <w:sz w:val="28"/>
          <w:szCs w:val="28"/>
        </w:rPr>
      </w:pPr>
      <w:r>
        <w:rPr>
          <w:rFonts w:hint="eastAsia" w:ascii="仿宋" w:hAnsi="仿宋" w:eastAsia="仿宋"/>
          <w:sz w:val="28"/>
          <w:szCs w:val="28"/>
        </w:rPr>
        <w:t>2、在本合同订立前、履行中、终止后，未经合同其他方书面同意，任何一方对本合同和各方相互提供的资料、信息负保密责任。任一方违反前述约定的，则违约方赔偿由此给守约方造成的一切损失。本保密条款具有独立性，不受本合同的终止或解除的影响。</w:t>
      </w:r>
    </w:p>
    <w:p w14:paraId="024FA550">
      <w:pPr>
        <w:ind w:firstLine="560" w:firstLineChars="200"/>
        <w:rPr>
          <w:rFonts w:ascii="仿宋" w:hAnsi="仿宋" w:eastAsia="仿宋"/>
          <w:sz w:val="28"/>
          <w:szCs w:val="28"/>
        </w:rPr>
      </w:pPr>
      <w:r>
        <w:rPr>
          <w:rFonts w:hint="eastAsia" w:ascii="仿宋" w:hAnsi="仿宋" w:eastAsia="仿宋"/>
          <w:sz w:val="28"/>
          <w:szCs w:val="28"/>
        </w:rPr>
        <w:t>3、 在本合同有效期内，甲方利用乙方提交的技术咨询工作成果所完成的新的技术成果，归甲方所有。在本合同有效期内，乙方利用甲方提供的技术资料和工作条件所完成的新的技术成果，归甲方所有。</w:t>
      </w:r>
    </w:p>
    <w:p w14:paraId="0B0E5580">
      <w:pPr>
        <w:ind w:firstLine="560"/>
        <w:rPr>
          <w:rFonts w:ascii="仿宋" w:hAnsi="仿宋" w:eastAsia="仿宋"/>
          <w:sz w:val="28"/>
          <w:szCs w:val="28"/>
        </w:rPr>
      </w:pPr>
      <w:r>
        <w:rPr>
          <w:rFonts w:hint="eastAsia" w:ascii="仿宋" w:hAnsi="仿宋" w:eastAsia="仿宋"/>
          <w:b/>
          <w:sz w:val="28"/>
          <w:szCs w:val="28"/>
        </w:rPr>
        <w:t>第五条</w:t>
      </w:r>
      <w:r>
        <w:rPr>
          <w:rFonts w:hint="eastAsia" w:ascii="仿宋" w:hAnsi="仿宋" w:eastAsia="仿宋"/>
          <w:sz w:val="28"/>
          <w:szCs w:val="28"/>
        </w:rPr>
        <w:t xml:space="preserve"> </w:t>
      </w:r>
      <w:r>
        <w:rPr>
          <w:rFonts w:hint="eastAsia" w:ascii="仿宋" w:hAnsi="仿宋" w:eastAsia="仿宋"/>
          <w:b/>
          <w:sz w:val="28"/>
          <w:szCs w:val="28"/>
        </w:rPr>
        <w:t>双方权利和义务</w:t>
      </w:r>
    </w:p>
    <w:p w14:paraId="3FF2BDF5">
      <w:pPr>
        <w:ind w:firstLine="280" w:firstLineChars="100"/>
        <w:rPr>
          <w:rFonts w:ascii="仿宋" w:hAnsi="仿宋" w:eastAsia="仿宋"/>
          <w:sz w:val="28"/>
          <w:szCs w:val="28"/>
        </w:rPr>
      </w:pPr>
      <w:r>
        <w:rPr>
          <w:rFonts w:hint="eastAsia" w:ascii="仿宋" w:hAnsi="仿宋" w:eastAsia="仿宋"/>
          <w:sz w:val="28"/>
          <w:szCs w:val="28"/>
        </w:rPr>
        <w:t>（一）甲方的权利和义务:</w:t>
      </w:r>
    </w:p>
    <w:p w14:paraId="5E6E2B28">
      <w:pPr>
        <w:rPr>
          <w:rFonts w:ascii="仿宋" w:hAnsi="仿宋" w:eastAsia="仿宋"/>
          <w:sz w:val="28"/>
          <w:szCs w:val="28"/>
        </w:rPr>
      </w:pPr>
      <w:r>
        <w:rPr>
          <w:rFonts w:hint="eastAsia" w:ascii="仿宋" w:hAnsi="仿宋" w:eastAsia="仿宋"/>
          <w:sz w:val="28"/>
          <w:szCs w:val="28"/>
        </w:rPr>
        <w:t xml:space="preserve">     1、有权监督乙方水土保持设施验收工作进度。</w:t>
      </w:r>
    </w:p>
    <w:p w14:paraId="437A7E7D">
      <w:pPr>
        <w:rPr>
          <w:rFonts w:ascii="仿宋" w:hAnsi="仿宋" w:eastAsia="仿宋"/>
          <w:sz w:val="28"/>
          <w:szCs w:val="28"/>
        </w:rPr>
      </w:pPr>
      <w:r>
        <w:rPr>
          <w:rFonts w:hint="eastAsia" w:ascii="仿宋" w:hAnsi="仿宋" w:eastAsia="仿宋"/>
          <w:sz w:val="28"/>
          <w:szCs w:val="28"/>
        </w:rPr>
        <w:t xml:space="preserve">     2、有权对评价报告中存在的问题提出修改意见。</w:t>
      </w:r>
    </w:p>
    <w:p w14:paraId="121FB514">
      <w:pPr>
        <w:rPr>
          <w:rFonts w:ascii="仿宋" w:hAnsi="仿宋" w:eastAsia="仿宋"/>
          <w:sz w:val="28"/>
          <w:szCs w:val="28"/>
        </w:rPr>
      </w:pPr>
      <w:r>
        <w:rPr>
          <w:rFonts w:hint="eastAsia" w:ascii="仿宋" w:hAnsi="仿宋" w:eastAsia="仿宋"/>
          <w:sz w:val="28"/>
          <w:szCs w:val="28"/>
        </w:rPr>
        <w:t xml:space="preserve">     3、有权对乙方的评价人员进入其生产作业场所进行管理和监督。有权对乙方人员不遵守管理规定的行为进行制止,并向乙方进行通报。</w:t>
      </w:r>
    </w:p>
    <w:p w14:paraId="65728BB7">
      <w:pPr>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4</w:t>
      </w:r>
      <w:r>
        <w:rPr>
          <w:rFonts w:hint="eastAsia" w:ascii="仿宋" w:hAnsi="仿宋" w:eastAsia="仿宋"/>
          <w:sz w:val="28"/>
          <w:szCs w:val="28"/>
        </w:rPr>
        <w:t>、有义务为乙方评价提供配合人员及便利条件（主要指涉及《水土保持设施验收》现场工作的进出）,并保证无隐瞒行为。</w:t>
      </w:r>
    </w:p>
    <w:p w14:paraId="7666E84F">
      <w:pPr>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5</w:t>
      </w:r>
      <w:r>
        <w:rPr>
          <w:rFonts w:hint="eastAsia" w:ascii="仿宋" w:hAnsi="仿宋" w:eastAsia="仿宋"/>
          <w:sz w:val="28"/>
          <w:szCs w:val="28"/>
        </w:rPr>
        <w:t>、按合同要求提供乙方所需的技术资料,并保证所提供资料的真实性、可靠性和及时性。</w:t>
      </w:r>
    </w:p>
    <w:p w14:paraId="64EB1010">
      <w:pPr>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6</w:t>
      </w:r>
      <w:r>
        <w:rPr>
          <w:rFonts w:hint="eastAsia" w:ascii="仿宋" w:hAnsi="仿宋" w:eastAsia="仿宋"/>
          <w:sz w:val="28"/>
          <w:szCs w:val="28"/>
        </w:rPr>
        <w:t>、向乙方通报近期企业施工的实际情况。</w:t>
      </w:r>
    </w:p>
    <w:p w14:paraId="28D42F46">
      <w:pPr>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7</w:t>
      </w:r>
      <w:r>
        <w:rPr>
          <w:rFonts w:hint="eastAsia" w:ascii="仿宋" w:hAnsi="仿宋" w:eastAsia="仿宋"/>
          <w:sz w:val="28"/>
          <w:szCs w:val="28"/>
        </w:rPr>
        <w:t>、不得将乙方出具的水土保持验收鉴定书和资料转借无相关第三方使用。</w:t>
      </w:r>
    </w:p>
    <w:p w14:paraId="45996835">
      <w:pPr>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8</w:t>
      </w:r>
      <w:r>
        <w:rPr>
          <w:rFonts w:hint="eastAsia" w:ascii="仿宋" w:hAnsi="仿宋" w:eastAsia="仿宋"/>
          <w:sz w:val="28"/>
          <w:szCs w:val="28"/>
        </w:rPr>
        <w:t>、</w:t>
      </w:r>
      <w:r>
        <w:rPr>
          <w:rFonts w:hint="eastAsia" w:ascii="仿宋" w:hAnsi="仿宋" w:eastAsia="仿宋"/>
          <w:sz w:val="28"/>
          <w:szCs w:val="28"/>
          <w:lang w:eastAsia="zh-Hans"/>
        </w:rPr>
        <w:t>甲方有权对合同规定范围内乙方的服务行为进行监督和检查，拥有监管权。有权定期核对乙方提供服务所配备的人员数量及专业资质。对甲方认为不合理、不合约的部分有权下达整改通知书，并要求乙方限期改正。</w:t>
      </w:r>
    </w:p>
    <w:p w14:paraId="7420A6D7">
      <w:pPr>
        <w:ind w:firstLine="560" w:firstLineChars="200"/>
        <w:rPr>
          <w:rFonts w:ascii="仿宋" w:hAnsi="仿宋" w:eastAsia="仿宋"/>
          <w:sz w:val="28"/>
          <w:szCs w:val="28"/>
        </w:rPr>
      </w:pPr>
      <w:r>
        <w:rPr>
          <w:rFonts w:ascii="仿宋" w:hAnsi="仿宋" w:eastAsia="仿宋"/>
          <w:sz w:val="28"/>
          <w:szCs w:val="28"/>
        </w:rPr>
        <w:t>9</w:t>
      </w:r>
      <w:r>
        <w:rPr>
          <w:rFonts w:hint="eastAsia" w:ascii="仿宋" w:hAnsi="仿宋" w:eastAsia="仿宋"/>
          <w:sz w:val="28"/>
          <w:szCs w:val="28"/>
        </w:rPr>
        <w:t>、按合同约定支付技术服务费。</w:t>
      </w:r>
    </w:p>
    <w:p w14:paraId="78906F91">
      <w:pPr>
        <w:ind w:firstLine="560" w:firstLineChars="200"/>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0</w:t>
      </w:r>
      <w:r>
        <w:rPr>
          <w:rFonts w:hint="eastAsia" w:ascii="仿宋" w:hAnsi="仿宋" w:eastAsia="仿宋"/>
          <w:sz w:val="28"/>
          <w:szCs w:val="28"/>
        </w:rPr>
        <w:t>、甲方有权就技术文件的一些技术问题向乙方咨询。</w:t>
      </w:r>
    </w:p>
    <w:p w14:paraId="78FD3780">
      <w:pPr>
        <w:rPr>
          <w:rFonts w:ascii="仿宋" w:hAnsi="仿宋" w:eastAsia="仿宋"/>
          <w:sz w:val="28"/>
          <w:szCs w:val="28"/>
        </w:rPr>
      </w:pPr>
      <w:r>
        <w:rPr>
          <w:rFonts w:hint="eastAsia" w:ascii="仿宋" w:hAnsi="仿宋" w:eastAsia="仿宋"/>
          <w:sz w:val="28"/>
          <w:szCs w:val="28"/>
        </w:rPr>
        <w:t>（二）乙方的权利和义务:</w:t>
      </w:r>
    </w:p>
    <w:p w14:paraId="53056263">
      <w:pPr>
        <w:rPr>
          <w:rFonts w:ascii="仿宋" w:hAnsi="仿宋" w:eastAsia="仿宋"/>
          <w:color w:val="000000"/>
          <w:sz w:val="28"/>
          <w:szCs w:val="28"/>
        </w:rPr>
      </w:pPr>
      <w:r>
        <w:rPr>
          <w:rFonts w:hint="eastAsia" w:ascii="仿宋" w:hAnsi="仿宋" w:eastAsia="仿宋"/>
          <w:color w:val="000000"/>
          <w:sz w:val="28"/>
          <w:szCs w:val="28"/>
        </w:rPr>
        <w:t xml:space="preserve">   1、依据合同约定的工作范围及要求,提供符合相应水保法、规范及水利监督管理部门要求的</w:t>
      </w:r>
      <w:r>
        <w:rPr>
          <w:rFonts w:hint="eastAsia" w:ascii="仿宋" w:hAnsi="仿宋" w:eastAsia="仿宋" w:cstheme="minorBidi"/>
          <w:b w:val="0"/>
          <w:bCs w:val="0"/>
          <w:color w:val="000000"/>
          <w:kern w:val="2"/>
          <w:sz w:val="28"/>
          <w:szCs w:val="28"/>
          <w:u w:val="none"/>
          <w:lang w:val="en-US" w:eastAsia="zh-CN"/>
        </w:rPr>
        <w:t>成果文件（水土保持设施验收鉴定书或水土保持验收报告）</w:t>
      </w:r>
      <w:r>
        <w:rPr>
          <w:rFonts w:hint="eastAsia" w:ascii="仿宋" w:hAnsi="仿宋" w:eastAsia="仿宋"/>
          <w:color w:val="000000"/>
          <w:sz w:val="28"/>
          <w:szCs w:val="28"/>
        </w:rPr>
        <w:t>等相关报告。对提交的报告的真实性负责,并配合完成此鉴定书评审过程中的有关事宜并承担全部费用。</w:t>
      </w:r>
    </w:p>
    <w:p w14:paraId="25E112B4">
      <w:pPr>
        <w:ind w:firstLine="560" w:firstLineChars="200"/>
        <w:rPr>
          <w:rFonts w:ascii="仿宋" w:hAnsi="仿宋" w:eastAsia="仿宋"/>
          <w:color w:val="000000"/>
          <w:sz w:val="28"/>
          <w:szCs w:val="28"/>
        </w:rPr>
      </w:pPr>
      <w:r>
        <w:rPr>
          <w:rFonts w:hint="eastAsia" w:ascii="仿宋" w:hAnsi="仿宋" w:eastAsia="仿宋"/>
          <w:color w:val="000000"/>
          <w:sz w:val="28"/>
          <w:szCs w:val="28"/>
        </w:rPr>
        <w:t>2、有权向甲方索取与水土保持有关的资料和图纸,有权进入甲方各生产现场,但应自行承担现场人员的一切费用和安全责任。</w:t>
      </w:r>
    </w:p>
    <w:p w14:paraId="7211CAB5">
      <w:pPr>
        <w:rPr>
          <w:color w:val="000000"/>
          <w:sz w:val="28"/>
          <w:szCs w:val="28"/>
        </w:rPr>
      </w:pPr>
      <w:r>
        <w:rPr>
          <w:rFonts w:hint="eastAsia" w:ascii="仿宋" w:hAnsi="仿宋" w:eastAsia="仿宋"/>
          <w:color w:val="000000"/>
          <w:sz w:val="28"/>
          <w:szCs w:val="28"/>
          <w:lang w:val="zh-CN"/>
        </w:rPr>
        <w:t xml:space="preserve">     </w:t>
      </w:r>
      <w:r>
        <w:rPr>
          <w:rFonts w:ascii="仿宋" w:hAnsi="仿宋" w:eastAsia="仿宋"/>
          <w:color w:val="000000"/>
          <w:sz w:val="28"/>
          <w:szCs w:val="28"/>
          <w:lang w:val="zh-CN"/>
        </w:rPr>
        <w:t>3</w:t>
      </w:r>
      <w:r>
        <w:rPr>
          <w:rFonts w:hint="eastAsia" w:ascii="仿宋" w:hAnsi="仿宋" w:eastAsia="仿宋"/>
          <w:color w:val="000000"/>
          <w:sz w:val="28"/>
          <w:szCs w:val="28"/>
          <w:lang w:val="zh-CN"/>
        </w:rPr>
        <w:t>、</w:t>
      </w:r>
      <w:r>
        <w:rPr>
          <w:rFonts w:hint="eastAsia" w:ascii="仿宋" w:hAnsi="仿宋" w:eastAsia="仿宋"/>
          <w:color w:val="000000"/>
          <w:sz w:val="28"/>
          <w:szCs w:val="28"/>
        </w:rPr>
        <w:t>乙方应在相关水土保持技术服务报告编制过程中和通过相关部门审查期间保持人员的相对稳定。</w:t>
      </w:r>
    </w:p>
    <w:p w14:paraId="7EC20C88">
      <w:pPr>
        <w:rPr>
          <w:rFonts w:eastAsia="宋体"/>
          <w:color w:val="000000"/>
          <w:sz w:val="28"/>
          <w:szCs w:val="28"/>
        </w:rPr>
      </w:pPr>
      <w:r>
        <w:rPr>
          <w:rFonts w:hint="eastAsia" w:ascii="仿宋" w:hAnsi="仿宋" w:eastAsia="仿宋"/>
          <w:color w:val="000000"/>
          <w:sz w:val="28"/>
          <w:szCs w:val="28"/>
          <w:lang w:val="zh-CN"/>
        </w:rPr>
        <w:t xml:space="preserve">     </w:t>
      </w:r>
      <w:r>
        <w:rPr>
          <w:rFonts w:ascii="仿宋" w:hAnsi="仿宋" w:eastAsia="仿宋"/>
          <w:color w:val="000000"/>
          <w:sz w:val="28"/>
          <w:szCs w:val="28"/>
          <w:lang w:val="zh-CN"/>
        </w:rPr>
        <w:t>4</w:t>
      </w:r>
      <w:r>
        <w:rPr>
          <w:rFonts w:hint="eastAsia" w:ascii="仿宋" w:hAnsi="仿宋" w:eastAsia="仿宋"/>
          <w:color w:val="000000"/>
          <w:sz w:val="28"/>
          <w:szCs w:val="28"/>
          <w:lang w:val="zh-CN"/>
        </w:rPr>
        <w:t>、</w:t>
      </w:r>
      <w:r>
        <w:rPr>
          <w:rFonts w:hint="eastAsia" w:ascii="仿宋" w:hAnsi="仿宋" w:eastAsia="仿宋"/>
          <w:color w:val="000000"/>
          <w:sz w:val="28"/>
          <w:szCs w:val="28"/>
        </w:rPr>
        <w:t>如乙方工作人员不能胜任工作、渎职或从事其他违法活动，甲方有权以书面形式提出更换要求，乙方应立即委派有同等资历的人员替换。</w:t>
      </w:r>
    </w:p>
    <w:p w14:paraId="3EF76AC0">
      <w:pPr>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5</w:t>
      </w:r>
      <w:r>
        <w:rPr>
          <w:rFonts w:hint="eastAsia" w:ascii="仿宋" w:hAnsi="仿宋" w:eastAsia="仿宋"/>
          <w:color w:val="000000"/>
          <w:sz w:val="28"/>
          <w:szCs w:val="28"/>
        </w:rPr>
        <w:t>、有权向甲方员工询问与水土保持技术服务有关的情况。</w:t>
      </w:r>
    </w:p>
    <w:p w14:paraId="72384760">
      <w:pPr>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6</w:t>
      </w:r>
      <w:r>
        <w:rPr>
          <w:rFonts w:hint="eastAsia" w:ascii="仿宋" w:hAnsi="仿宋" w:eastAsia="仿宋"/>
          <w:color w:val="000000"/>
          <w:sz w:val="28"/>
          <w:szCs w:val="28"/>
        </w:rPr>
        <w:t>、发现甲方提供的技术资料、数据、材料或工作条件不符合技术服务要求时,应及时通知甲方更改、更换。</w:t>
      </w:r>
    </w:p>
    <w:p w14:paraId="569B4C62">
      <w:pPr>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7</w:t>
      </w:r>
      <w:r>
        <w:rPr>
          <w:rFonts w:hint="eastAsia" w:ascii="仿宋" w:hAnsi="仿宋" w:eastAsia="仿宋"/>
          <w:color w:val="000000"/>
          <w:sz w:val="28"/>
          <w:szCs w:val="28"/>
        </w:rPr>
        <w:t>、有义务对甲方所提供的企业各类资料保守秘密。</w:t>
      </w:r>
    </w:p>
    <w:p w14:paraId="60A7D681">
      <w:pPr>
        <w:ind w:firstLine="560"/>
        <w:rPr>
          <w:rFonts w:ascii="仿宋" w:hAnsi="仿宋" w:eastAsia="仿宋"/>
          <w:color w:val="000000"/>
          <w:sz w:val="28"/>
          <w:szCs w:val="28"/>
        </w:rPr>
      </w:pPr>
      <w:r>
        <w:rPr>
          <w:rFonts w:hint="eastAsia" w:ascii="仿宋" w:hAnsi="仿宋" w:eastAsia="仿宋"/>
          <w:color w:val="000000"/>
          <w:sz w:val="28"/>
          <w:szCs w:val="28"/>
          <w:lang w:val="zh-CN"/>
        </w:rPr>
        <w:t xml:space="preserve"> </w:t>
      </w:r>
      <w:r>
        <w:rPr>
          <w:rFonts w:ascii="仿宋" w:hAnsi="仿宋" w:eastAsia="仿宋"/>
          <w:color w:val="000000"/>
          <w:sz w:val="28"/>
          <w:szCs w:val="28"/>
          <w:lang w:val="zh-CN"/>
        </w:rPr>
        <w:t>8</w:t>
      </w:r>
      <w:r>
        <w:rPr>
          <w:rFonts w:hint="eastAsia" w:ascii="仿宋" w:hAnsi="仿宋" w:eastAsia="仿宋"/>
          <w:color w:val="000000"/>
          <w:sz w:val="28"/>
          <w:szCs w:val="28"/>
        </w:rPr>
        <w:t>、乙方履行义务及承担的工作任务与责任,应从合同生效之日起,到合同中约定的工作完成为止。</w:t>
      </w:r>
    </w:p>
    <w:p w14:paraId="435A9A18">
      <w:pPr>
        <w:rPr>
          <w:rFonts w:ascii="仿宋" w:hAnsi="仿宋" w:eastAsia="仿宋"/>
          <w:color w:val="000000"/>
          <w:sz w:val="28"/>
          <w:szCs w:val="28"/>
        </w:rPr>
      </w:pPr>
      <w:r>
        <w:rPr>
          <w:rFonts w:hint="eastAsia" w:ascii="仿宋" w:hAnsi="仿宋" w:eastAsia="仿宋"/>
          <w:color w:val="000000"/>
          <w:sz w:val="28"/>
          <w:szCs w:val="28"/>
        </w:rPr>
        <w:t xml:space="preserve">     </w:t>
      </w:r>
      <w:r>
        <w:rPr>
          <w:rFonts w:ascii="仿宋" w:hAnsi="仿宋" w:eastAsia="仿宋"/>
          <w:color w:val="000000"/>
          <w:sz w:val="28"/>
          <w:szCs w:val="28"/>
        </w:rPr>
        <w:t>9</w:t>
      </w:r>
      <w:r>
        <w:rPr>
          <w:rFonts w:hint="eastAsia" w:ascii="仿宋" w:hAnsi="仿宋" w:eastAsia="仿宋"/>
          <w:color w:val="000000"/>
          <w:sz w:val="28"/>
          <w:szCs w:val="28"/>
        </w:rPr>
        <w:t>、乙方负责对所提交的技术服务报告中出现的遗漏和错误负责修改或补充,修改或补充时间已包含在合同约定的提交期限内。</w:t>
      </w:r>
    </w:p>
    <w:p w14:paraId="19D23DD9">
      <w:pPr>
        <w:pStyle w:val="3"/>
        <w:jc w:val="both"/>
        <w:rPr>
          <w:rFonts w:ascii="仿宋" w:hAnsi="仿宋" w:eastAsia="仿宋"/>
          <w:color w:val="000000"/>
          <w:sz w:val="28"/>
          <w:szCs w:val="28"/>
        </w:rPr>
      </w:pPr>
      <w:r>
        <w:rPr>
          <w:rFonts w:hint="eastAsia" w:ascii="仿宋" w:hAnsi="仿宋" w:eastAsia="仿宋"/>
          <w:color w:val="000000"/>
          <w:sz w:val="28"/>
          <w:szCs w:val="28"/>
        </w:rPr>
        <w:t xml:space="preserve">     1</w:t>
      </w:r>
      <w:r>
        <w:rPr>
          <w:rFonts w:ascii="仿宋" w:hAnsi="仿宋" w:eastAsia="仿宋"/>
          <w:color w:val="000000"/>
          <w:sz w:val="28"/>
          <w:szCs w:val="28"/>
        </w:rPr>
        <w:t>0</w:t>
      </w:r>
      <w:r>
        <w:rPr>
          <w:rFonts w:hint="eastAsia" w:ascii="仿宋" w:hAnsi="仿宋" w:eastAsia="仿宋"/>
          <w:color w:val="000000"/>
          <w:sz w:val="28"/>
          <w:szCs w:val="28"/>
        </w:rPr>
        <w:t>、对技术服务质量负责,其深度应符合主管部门的最终要求,</w:t>
      </w:r>
      <w:r>
        <w:rPr>
          <w:rFonts w:hint="eastAsia" w:ascii="仿宋" w:hAnsi="仿宋" w:eastAsia="仿宋"/>
          <w:color w:val="000000"/>
          <w:sz w:val="28"/>
          <w:szCs w:val="28"/>
          <w:lang w:val="zh-CN"/>
        </w:rPr>
        <w:t xml:space="preserve"> 若不符合要求，乙方应负责修改或补充，需要重新编制</w:t>
      </w:r>
      <w:r>
        <w:rPr>
          <w:rFonts w:hint="eastAsia" w:ascii="仿宋" w:hAnsi="仿宋" w:eastAsia="仿宋"/>
          <w:color w:val="000000"/>
          <w:sz w:val="28"/>
          <w:szCs w:val="28"/>
        </w:rPr>
        <w:t>成果</w:t>
      </w:r>
      <w:r>
        <w:rPr>
          <w:rFonts w:hint="eastAsia" w:ascii="仿宋" w:hAnsi="仿宋" w:eastAsia="仿宋"/>
          <w:color w:val="000000"/>
          <w:sz w:val="28"/>
          <w:szCs w:val="28"/>
          <w:lang w:val="zh-CN"/>
        </w:rPr>
        <w:t>文件及组织评审的费用由乙方承担；</w:t>
      </w:r>
      <w:r>
        <w:rPr>
          <w:rFonts w:hint="eastAsia" w:ascii="仿宋" w:hAnsi="仿宋" w:eastAsia="仿宋"/>
          <w:color w:val="000000"/>
          <w:sz w:val="28"/>
          <w:szCs w:val="28"/>
        </w:rPr>
        <w:t>若修改二次仍无法达到要求,甲方有权终止合同、不再支付任何费用、要求乙方返还已收取的费用，并承担服务费总额的20%作为违约金。</w:t>
      </w:r>
    </w:p>
    <w:p w14:paraId="4C73F2D8">
      <w:pPr>
        <w:pStyle w:val="3"/>
        <w:jc w:val="both"/>
        <w:rPr>
          <w:rFonts w:ascii="仿宋" w:hAnsi="仿宋" w:eastAsia="仿宋"/>
          <w:color w:val="000000"/>
          <w:sz w:val="28"/>
          <w:szCs w:val="28"/>
        </w:rPr>
      </w:pPr>
      <w:r>
        <w:rPr>
          <w:rFonts w:hint="eastAsia" w:ascii="仿宋" w:hAnsi="仿宋" w:eastAsia="仿宋"/>
          <w:color w:val="000000"/>
          <w:sz w:val="28"/>
          <w:szCs w:val="28"/>
        </w:rPr>
        <w:t xml:space="preserve">     1</w:t>
      </w:r>
      <w:r>
        <w:rPr>
          <w:rFonts w:ascii="仿宋" w:hAnsi="仿宋" w:eastAsia="仿宋"/>
          <w:color w:val="000000"/>
          <w:sz w:val="28"/>
          <w:szCs w:val="28"/>
        </w:rPr>
        <w:t>1</w:t>
      </w:r>
      <w:r>
        <w:rPr>
          <w:rFonts w:hint="eastAsia" w:ascii="仿宋" w:hAnsi="仿宋" w:eastAsia="仿宋"/>
          <w:color w:val="000000"/>
          <w:sz w:val="28"/>
          <w:szCs w:val="28"/>
        </w:rPr>
        <w:t>、乙方应按照甲方要求定期或不定期向甲方汇报工作情况的义务，乙方应及时回复甲方的咨询或其他联络。</w:t>
      </w:r>
    </w:p>
    <w:p w14:paraId="79A2DEEF">
      <w:pPr>
        <w:pStyle w:val="3"/>
        <w:jc w:val="both"/>
        <w:rPr>
          <w:rFonts w:ascii="仿宋" w:hAnsi="仿宋" w:eastAsia="仿宋"/>
          <w:color w:val="000000"/>
          <w:sz w:val="28"/>
          <w:szCs w:val="28"/>
        </w:rPr>
      </w:pPr>
      <w:r>
        <w:rPr>
          <w:rFonts w:hint="eastAsia" w:ascii="仿宋" w:hAnsi="仿宋" w:eastAsia="仿宋"/>
          <w:color w:val="000000"/>
          <w:sz w:val="28"/>
          <w:szCs w:val="28"/>
        </w:rPr>
        <w:t xml:space="preserve">     1</w:t>
      </w:r>
      <w:r>
        <w:rPr>
          <w:rFonts w:ascii="仿宋" w:hAnsi="仿宋" w:eastAsia="仿宋"/>
          <w:color w:val="000000"/>
          <w:sz w:val="28"/>
          <w:szCs w:val="28"/>
        </w:rPr>
        <w:t>2</w:t>
      </w:r>
      <w:r>
        <w:rPr>
          <w:rFonts w:hint="eastAsia" w:ascii="仿宋" w:hAnsi="仿宋" w:eastAsia="仿宋"/>
          <w:color w:val="000000"/>
          <w:sz w:val="28"/>
          <w:szCs w:val="28"/>
        </w:rPr>
        <w:t>、乙方应保证乙方提供的服务或其任何一部分不会侵犯任何第三方的专利权、商标权、著作权、知识产权、所有权等权益。否则，乙方应将已经收取的全部款项一次性退回给甲方，若有第三人向甲方主张责任的，应当由乙方负责处理，如因此给甲方造成损失的，乙方还应当赔偿由此给甲方造成的全部损失，并按照合同总金额的20%支付违约金。</w:t>
      </w:r>
    </w:p>
    <w:p w14:paraId="7A33C42C">
      <w:pPr>
        <w:pStyle w:val="3"/>
        <w:jc w:val="both"/>
        <w:rPr>
          <w:rFonts w:ascii="仿宋" w:hAnsi="仿宋" w:eastAsia="仿宋"/>
          <w:color w:val="000000"/>
          <w:sz w:val="28"/>
          <w:szCs w:val="28"/>
        </w:rPr>
      </w:pPr>
      <w:r>
        <w:rPr>
          <w:rFonts w:hint="eastAsia" w:ascii="仿宋" w:hAnsi="仿宋" w:eastAsia="仿宋"/>
          <w:color w:val="000000"/>
          <w:sz w:val="28"/>
          <w:szCs w:val="28"/>
        </w:rPr>
        <w:t xml:space="preserve">     1</w:t>
      </w:r>
      <w:r>
        <w:rPr>
          <w:rFonts w:ascii="仿宋" w:hAnsi="仿宋" w:eastAsia="仿宋"/>
          <w:color w:val="000000"/>
          <w:sz w:val="28"/>
          <w:szCs w:val="28"/>
        </w:rPr>
        <w:t>3</w:t>
      </w:r>
      <w:r>
        <w:rPr>
          <w:rFonts w:hint="eastAsia" w:ascii="仿宋" w:hAnsi="仿宋" w:eastAsia="仿宋"/>
          <w:color w:val="000000"/>
          <w:sz w:val="28"/>
          <w:szCs w:val="28"/>
        </w:rPr>
        <w:t>、乙方承诺实际参与本项目实施的主要工作人员均具备相应专业资质和相当的专业经验。</w:t>
      </w:r>
    </w:p>
    <w:p w14:paraId="6B9D30B4">
      <w:pPr>
        <w:pStyle w:val="3"/>
        <w:jc w:val="both"/>
        <w:rPr>
          <w:rFonts w:ascii="仿宋" w:hAnsi="仿宋" w:eastAsia="仿宋"/>
          <w:color w:val="000000"/>
          <w:sz w:val="28"/>
          <w:szCs w:val="28"/>
        </w:rPr>
      </w:pPr>
      <w:r>
        <w:rPr>
          <w:rFonts w:hint="eastAsia" w:ascii="仿宋" w:hAnsi="仿宋" w:eastAsia="仿宋"/>
          <w:color w:val="000000"/>
          <w:sz w:val="28"/>
          <w:szCs w:val="28"/>
        </w:rPr>
        <w:t xml:space="preserve">     1</w:t>
      </w:r>
      <w:r>
        <w:rPr>
          <w:rFonts w:ascii="仿宋" w:hAnsi="仿宋" w:eastAsia="仿宋"/>
          <w:color w:val="000000"/>
          <w:sz w:val="28"/>
          <w:szCs w:val="28"/>
        </w:rPr>
        <w:t>4</w:t>
      </w:r>
      <w:r>
        <w:rPr>
          <w:rFonts w:hint="eastAsia" w:ascii="仿宋" w:hAnsi="仿宋" w:eastAsia="仿宋"/>
          <w:color w:val="000000"/>
          <w:sz w:val="28"/>
          <w:szCs w:val="28"/>
        </w:rPr>
        <w:t>、乙方在施工现场内必须使用符合国家相关标准的安全帽、安全带、带电操作业用具等相关安全用具；乙方负责该项目参与人员的人身安全和财产安全，购买保险，做好安全预案，加强安全管理，防止各类安全事故发生。若发生安全事故或意外伤害情形，或造成不良的社会影响及经济损失，均由乙方承担全部民事、行政责任和相应经济损失，造成甲方损失的，另行承担赔偿责任。若编制成果文件需进行实地考察及必要的现场调研、研讨活动。乙方自行负责安排人员合同履行期间的路费、食宿。</w:t>
      </w:r>
    </w:p>
    <w:p w14:paraId="1A1E8575">
      <w:pPr>
        <w:pStyle w:val="3"/>
        <w:ind w:firstLine="560"/>
        <w:jc w:val="both"/>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5</w:t>
      </w:r>
      <w:r>
        <w:rPr>
          <w:rFonts w:hint="eastAsia" w:ascii="仿宋" w:hAnsi="仿宋" w:eastAsia="仿宋"/>
          <w:color w:val="000000"/>
          <w:sz w:val="28"/>
          <w:szCs w:val="28"/>
        </w:rPr>
        <w:t>、乙方对相关报告的专业性、准确性、合规性、合法性承担保证责任。乙方提供的报告违法国家相关法律、法规及相关规定的，乙方应当全额退还已收取的费用，给甲方造成损失的，乙方应当承担全部的赔偿责任。</w:t>
      </w:r>
    </w:p>
    <w:p w14:paraId="01792A15">
      <w:pPr>
        <w:pStyle w:val="3"/>
        <w:ind w:firstLine="560"/>
        <w:jc w:val="both"/>
        <w:rPr>
          <w:rFonts w:ascii="仿宋" w:hAnsi="仿宋" w:eastAsia="仿宋"/>
          <w:color w:val="000000"/>
          <w:sz w:val="28"/>
          <w:szCs w:val="28"/>
          <w:highlight w:val="none"/>
        </w:rPr>
      </w:pPr>
      <w:r>
        <w:rPr>
          <w:rFonts w:hint="eastAsia" w:ascii="仿宋" w:hAnsi="仿宋" w:eastAsia="仿宋"/>
          <w:color w:val="000000"/>
          <w:sz w:val="28"/>
          <w:szCs w:val="28"/>
          <w:highlight w:val="none"/>
        </w:rPr>
        <w:t>18、乙方组成本项目的负责人员工作组如下：</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1491"/>
        <w:gridCol w:w="2994"/>
        <w:gridCol w:w="2994"/>
      </w:tblGrid>
      <w:tr w14:paraId="6D04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tcBorders>
              <w:top w:val="single" w:color="auto" w:sz="4" w:space="0"/>
              <w:left w:val="single" w:color="auto" w:sz="4" w:space="0"/>
              <w:bottom w:val="single" w:color="auto" w:sz="4" w:space="0"/>
              <w:right w:val="single" w:color="auto" w:sz="4" w:space="0"/>
              <w:tl2br w:val="nil"/>
              <w:tr2bl w:val="nil"/>
            </w:tcBorders>
            <w:vAlign w:val="center"/>
          </w:tcPr>
          <w:p w14:paraId="452510E7">
            <w:pPr>
              <w:pStyle w:val="3"/>
              <w:jc w:val="both"/>
              <w:rPr>
                <w:rFonts w:ascii="仿宋" w:hAnsi="仿宋" w:eastAsia="仿宋"/>
                <w:color w:val="000000"/>
                <w:sz w:val="28"/>
                <w:szCs w:val="28"/>
                <w:highlight w:val="none"/>
              </w:rPr>
            </w:pPr>
            <w:r>
              <w:rPr>
                <w:rFonts w:hint="eastAsia" w:ascii="仿宋" w:hAnsi="仿宋" w:eastAsia="仿宋"/>
                <w:color w:val="000000"/>
                <w:sz w:val="28"/>
                <w:szCs w:val="28"/>
                <w:highlight w:val="none"/>
              </w:rPr>
              <w:t>序号</w:t>
            </w:r>
          </w:p>
        </w:tc>
        <w:tc>
          <w:tcPr>
            <w:tcW w:w="1491" w:type="dxa"/>
            <w:tcBorders>
              <w:top w:val="single" w:color="auto" w:sz="4" w:space="0"/>
              <w:left w:val="single" w:color="auto" w:sz="4" w:space="0"/>
              <w:bottom w:val="single" w:color="auto" w:sz="4" w:space="0"/>
              <w:right w:val="single" w:color="auto" w:sz="4" w:space="0"/>
              <w:tl2br w:val="nil"/>
              <w:tr2bl w:val="nil"/>
            </w:tcBorders>
            <w:vAlign w:val="center"/>
          </w:tcPr>
          <w:p w14:paraId="4AF31358">
            <w:pPr>
              <w:pStyle w:val="3"/>
              <w:ind w:firstLine="560"/>
              <w:jc w:val="both"/>
              <w:rPr>
                <w:rFonts w:ascii="仿宋" w:hAnsi="仿宋" w:eastAsia="仿宋"/>
                <w:color w:val="000000"/>
                <w:sz w:val="28"/>
                <w:szCs w:val="28"/>
                <w:highlight w:val="none"/>
              </w:rPr>
            </w:pPr>
            <w:r>
              <w:rPr>
                <w:rFonts w:hint="eastAsia" w:ascii="仿宋" w:hAnsi="仿宋" w:eastAsia="仿宋"/>
                <w:color w:val="000000"/>
                <w:sz w:val="28"/>
                <w:szCs w:val="28"/>
                <w:highlight w:val="none"/>
              </w:rPr>
              <w:t>姓名</w:t>
            </w:r>
          </w:p>
        </w:tc>
        <w:tc>
          <w:tcPr>
            <w:tcW w:w="2994" w:type="dxa"/>
            <w:tcBorders>
              <w:top w:val="single" w:color="auto" w:sz="4" w:space="0"/>
              <w:left w:val="single" w:color="auto" w:sz="4" w:space="0"/>
              <w:bottom w:val="single" w:color="auto" w:sz="4" w:space="0"/>
              <w:right w:val="single" w:color="auto" w:sz="4" w:space="0"/>
              <w:tl2br w:val="nil"/>
              <w:tr2bl w:val="nil"/>
            </w:tcBorders>
            <w:vAlign w:val="center"/>
          </w:tcPr>
          <w:p w14:paraId="1F0A92FA">
            <w:pPr>
              <w:pStyle w:val="3"/>
              <w:ind w:firstLine="560"/>
              <w:jc w:val="both"/>
              <w:rPr>
                <w:rFonts w:ascii="仿宋" w:hAnsi="仿宋" w:eastAsia="仿宋"/>
                <w:color w:val="000000"/>
                <w:sz w:val="28"/>
                <w:szCs w:val="28"/>
                <w:highlight w:val="none"/>
              </w:rPr>
            </w:pPr>
            <w:r>
              <w:rPr>
                <w:rFonts w:hint="eastAsia" w:ascii="仿宋" w:hAnsi="仿宋" w:eastAsia="仿宋"/>
                <w:color w:val="000000"/>
                <w:sz w:val="28"/>
                <w:szCs w:val="28"/>
                <w:highlight w:val="none"/>
              </w:rPr>
              <w:t>联系电话</w:t>
            </w:r>
          </w:p>
        </w:tc>
        <w:tc>
          <w:tcPr>
            <w:tcW w:w="2994" w:type="dxa"/>
            <w:tcBorders>
              <w:top w:val="single" w:color="auto" w:sz="4" w:space="0"/>
              <w:left w:val="single" w:color="auto" w:sz="4" w:space="0"/>
              <w:bottom w:val="single" w:color="auto" w:sz="4" w:space="0"/>
              <w:right w:val="single" w:color="auto" w:sz="4" w:space="0"/>
              <w:tl2br w:val="nil"/>
              <w:tr2bl w:val="nil"/>
            </w:tcBorders>
            <w:vAlign w:val="center"/>
          </w:tcPr>
          <w:p w14:paraId="46A06E2C">
            <w:pPr>
              <w:pStyle w:val="3"/>
              <w:ind w:firstLine="560"/>
              <w:jc w:val="both"/>
              <w:rPr>
                <w:rFonts w:ascii="仿宋" w:hAnsi="仿宋" w:eastAsia="仿宋"/>
                <w:color w:val="000000"/>
                <w:sz w:val="28"/>
                <w:szCs w:val="28"/>
                <w:highlight w:val="none"/>
              </w:rPr>
            </w:pPr>
            <w:r>
              <w:rPr>
                <w:rFonts w:hint="eastAsia" w:ascii="仿宋" w:hAnsi="仿宋" w:eastAsia="仿宋"/>
                <w:color w:val="000000"/>
                <w:sz w:val="28"/>
                <w:szCs w:val="28"/>
                <w:highlight w:val="none"/>
              </w:rPr>
              <w:t>职位</w:t>
            </w:r>
          </w:p>
        </w:tc>
      </w:tr>
      <w:tr w14:paraId="7464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tcBorders>
              <w:top w:val="single" w:color="auto" w:sz="4" w:space="0"/>
              <w:left w:val="single" w:color="auto" w:sz="4" w:space="0"/>
              <w:bottom w:val="single" w:color="auto" w:sz="4" w:space="0"/>
              <w:right w:val="single" w:color="auto" w:sz="4" w:space="0"/>
              <w:tl2br w:val="nil"/>
              <w:tr2bl w:val="nil"/>
            </w:tcBorders>
            <w:vAlign w:val="center"/>
          </w:tcPr>
          <w:p w14:paraId="19C3373D">
            <w:pPr>
              <w:pStyle w:val="3"/>
              <w:ind w:firstLine="560"/>
              <w:jc w:val="both"/>
              <w:rPr>
                <w:rFonts w:ascii="仿宋" w:hAnsi="仿宋" w:eastAsia="仿宋"/>
                <w:color w:val="000000"/>
                <w:sz w:val="28"/>
                <w:szCs w:val="28"/>
                <w:highlight w:val="none"/>
              </w:rPr>
            </w:pPr>
            <w:r>
              <w:rPr>
                <w:rFonts w:hint="eastAsia" w:ascii="仿宋" w:hAnsi="仿宋" w:eastAsia="仿宋"/>
                <w:color w:val="000000"/>
                <w:sz w:val="28"/>
                <w:szCs w:val="28"/>
                <w:highlight w:val="none"/>
              </w:rPr>
              <w:t>1</w:t>
            </w:r>
          </w:p>
        </w:tc>
        <w:tc>
          <w:tcPr>
            <w:tcW w:w="1491" w:type="dxa"/>
            <w:tcBorders>
              <w:top w:val="single" w:color="auto" w:sz="4" w:space="0"/>
              <w:left w:val="single" w:color="auto" w:sz="4" w:space="0"/>
              <w:bottom w:val="single" w:color="auto" w:sz="4" w:space="0"/>
              <w:right w:val="single" w:color="auto" w:sz="4" w:space="0"/>
              <w:tl2br w:val="nil"/>
              <w:tr2bl w:val="nil"/>
            </w:tcBorders>
            <w:vAlign w:val="center"/>
          </w:tcPr>
          <w:p w14:paraId="54E48A88">
            <w:pPr>
              <w:pStyle w:val="3"/>
              <w:ind w:firstLine="560"/>
              <w:jc w:val="both"/>
              <w:rPr>
                <w:rFonts w:ascii="仿宋" w:hAnsi="仿宋" w:eastAsia="仿宋"/>
                <w:color w:val="000000"/>
                <w:sz w:val="28"/>
                <w:szCs w:val="28"/>
                <w:highlight w:val="none"/>
              </w:rPr>
            </w:pPr>
          </w:p>
        </w:tc>
        <w:tc>
          <w:tcPr>
            <w:tcW w:w="2994" w:type="dxa"/>
            <w:tcBorders>
              <w:top w:val="single" w:color="auto" w:sz="4" w:space="0"/>
              <w:left w:val="single" w:color="auto" w:sz="4" w:space="0"/>
              <w:bottom w:val="single" w:color="auto" w:sz="4" w:space="0"/>
              <w:right w:val="single" w:color="auto" w:sz="4" w:space="0"/>
              <w:tl2br w:val="nil"/>
              <w:tr2bl w:val="nil"/>
            </w:tcBorders>
            <w:vAlign w:val="center"/>
          </w:tcPr>
          <w:p w14:paraId="6FCAF8DE">
            <w:pPr>
              <w:pStyle w:val="3"/>
              <w:ind w:firstLine="560"/>
              <w:jc w:val="both"/>
              <w:rPr>
                <w:rFonts w:ascii="仿宋" w:hAnsi="仿宋" w:eastAsia="仿宋"/>
                <w:color w:val="000000"/>
                <w:sz w:val="28"/>
                <w:szCs w:val="28"/>
                <w:highlight w:val="none"/>
              </w:rPr>
            </w:pPr>
          </w:p>
        </w:tc>
        <w:tc>
          <w:tcPr>
            <w:tcW w:w="2994" w:type="dxa"/>
            <w:tcBorders>
              <w:top w:val="single" w:color="auto" w:sz="4" w:space="0"/>
              <w:left w:val="single" w:color="auto" w:sz="4" w:space="0"/>
              <w:bottom w:val="single" w:color="auto" w:sz="4" w:space="0"/>
              <w:right w:val="single" w:color="auto" w:sz="4" w:space="0"/>
              <w:tl2br w:val="nil"/>
              <w:tr2bl w:val="nil"/>
            </w:tcBorders>
            <w:vAlign w:val="center"/>
          </w:tcPr>
          <w:p w14:paraId="3F1647BA">
            <w:pPr>
              <w:pStyle w:val="3"/>
              <w:ind w:firstLine="560"/>
              <w:jc w:val="both"/>
              <w:rPr>
                <w:rFonts w:ascii="仿宋" w:hAnsi="仿宋" w:eastAsia="仿宋"/>
                <w:color w:val="000000"/>
                <w:sz w:val="28"/>
                <w:szCs w:val="28"/>
                <w:highlight w:val="none"/>
              </w:rPr>
            </w:pPr>
          </w:p>
        </w:tc>
      </w:tr>
      <w:tr w14:paraId="7EDD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tcBorders>
              <w:top w:val="single" w:color="auto" w:sz="4" w:space="0"/>
              <w:left w:val="single" w:color="auto" w:sz="4" w:space="0"/>
              <w:bottom w:val="single" w:color="auto" w:sz="4" w:space="0"/>
              <w:right w:val="single" w:color="auto" w:sz="4" w:space="0"/>
              <w:tl2br w:val="nil"/>
              <w:tr2bl w:val="nil"/>
            </w:tcBorders>
            <w:vAlign w:val="center"/>
          </w:tcPr>
          <w:p w14:paraId="6A844C06">
            <w:pPr>
              <w:pStyle w:val="3"/>
              <w:ind w:firstLine="560"/>
              <w:jc w:val="both"/>
              <w:rPr>
                <w:rFonts w:ascii="仿宋" w:hAnsi="仿宋" w:eastAsia="仿宋"/>
                <w:color w:val="000000"/>
                <w:sz w:val="28"/>
                <w:szCs w:val="28"/>
                <w:highlight w:val="none"/>
              </w:rPr>
            </w:pPr>
            <w:r>
              <w:rPr>
                <w:rFonts w:hint="eastAsia" w:ascii="仿宋" w:hAnsi="仿宋" w:eastAsia="仿宋"/>
                <w:color w:val="000000"/>
                <w:sz w:val="28"/>
                <w:szCs w:val="28"/>
                <w:highlight w:val="none"/>
              </w:rPr>
              <w:t>2</w:t>
            </w:r>
          </w:p>
        </w:tc>
        <w:tc>
          <w:tcPr>
            <w:tcW w:w="1491" w:type="dxa"/>
            <w:tcBorders>
              <w:top w:val="single" w:color="auto" w:sz="4" w:space="0"/>
              <w:left w:val="single" w:color="auto" w:sz="4" w:space="0"/>
              <w:bottom w:val="single" w:color="auto" w:sz="4" w:space="0"/>
              <w:right w:val="single" w:color="auto" w:sz="4" w:space="0"/>
              <w:tl2br w:val="nil"/>
              <w:tr2bl w:val="nil"/>
            </w:tcBorders>
            <w:vAlign w:val="center"/>
          </w:tcPr>
          <w:p w14:paraId="7B218E9D">
            <w:pPr>
              <w:pStyle w:val="3"/>
              <w:ind w:firstLine="560"/>
              <w:jc w:val="both"/>
              <w:rPr>
                <w:rFonts w:ascii="仿宋" w:hAnsi="仿宋" w:eastAsia="仿宋"/>
                <w:color w:val="000000"/>
                <w:sz w:val="28"/>
                <w:szCs w:val="28"/>
                <w:highlight w:val="none"/>
              </w:rPr>
            </w:pPr>
          </w:p>
        </w:tc>
        <w:tc>
          <w:tcPr>
            <w:tcW w:w="2994" w:type="dxa"/>
            <w:tcBorders>
              <w:top w:val="single" w:color="auto" w:sz="4" w:space="0"/>
              <w:left w:val="single" w:color="auto" w:sz="4" w:space="0"/>
              <w:bottom w:val="single" w:color="auto" w:sz="4" w:space="0"/>
              <w:right w:val="single" w:color="auto" w:sz="4" w:space="0"/>
              <w:tl2br w:val="nil"/>
              <w:tr2bl w:val="nil"/>
            </w:tcBorders>
            <w:vAlign w:val="center"/>
          </w:tcPr>
          <w:p w14:paraId="1DD618B6">
            <w:pPr>
              <w:pStyle w:val="3"/>
              <w:ind w:firstLine="560"/>
              <w:jc w:val="both"/>
              <w:rPr>
                <w:rFonts w:ascii="仿宋" w:hAnsi="仿宋" w:eastAsia="仿宋"/>
                <w:color w:val="000000"/>
                <w:sz w:val="28"/>
                <w:szCs w:val="28"/>
                <w:highlight w:val="none"/>
              </w:rPr>
            </w:pPr>
          </w:p>
        </w:tc>
        <w:tc>
          <w:tcPr>
            <w:tcW w:w="2994" w:type="dxa"/>
            <w:tcBorders>
              <w:top w:val="single" w:color="auto" w:sz="4" w:space="0"/>
              <w:left w:val="single" w:color="auto" w:sz="4" w:space="0"/>
              <w:bottom w:val="single" w:color="auto" w:sz="4" w:space="0"/>
              <w:right w:val="single" w:color="auto" w:sz="4" w:space="0"/>
              <w:tl2br w:val="nil"/>
              <w:tr2bl w:val="nil"/>
            </w:tcBorders>
            <w:vAlign w:val="center"/>
          </w:tcPr>
          <w:p w14:paraId="2C46F133">
            <w:pPr>
              <w:pStyle w:val="3"/>
              <w:ind w:firstLine="560"/>
              <w:jc w:val="both"/>
              <w:rPr>
                <w:rFonts w:ascii="仿宋" w:hAnsi="仿宋" w:eastAsia="仿宋"/>
                <w:color w:val="000000"/>
                <w:sz w:val="28"/>
                <w:szCs w:val="28"/>
                <w:highlight w:val="none"/>
              </w:rPr>
            </w:pPr>
          </w:p>
        </w:tc>
      </w:tr>
      <w:tr w14:paraId="4EFD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dxa"/>
            <w:tcBorders>
              <w:top w:val="single" w:color="auto" w:sz="4" w:space="0"/>
              <w:left w:val="single" w:color="auto" w:sz="4" w:space="0"/>
              <w:bottom w:val="single" w:color="auto" w:sz="4" w:space="0"/>
              <w:right w:val="single" w:color="auto" w:sz="4" w:space="0"/>
              <w:tl2br w:val="nil"/>
              <w:tr2bl w:val="nil"/>
            </w:tcBorders>
            <w:vAlign w:val="center"/>
          </w:tcPr>
          <w:p w14:paraId="26CDCB39">
            <w:pPr>
              <w:pStyle w:val="3"/>
              <w:ind w:firstLine="560"/>
              <w:jc w:val="both"/>
              <w:rPr>
                <w:rFonts w:ascii="仿宋" w:hAnsi="仿宋" w:eastAsia="仿宋"/>
                <w:color w:val="000000"/>
                <w:sz w:val="28"/>
                <w:szCs w:val="28"/>
                <w:highlight w:val="none"/>
              </w:rPr>
            </w:pPr>
            <w:r>
              <w:rPr>
                <w:rFonts w:hint="eastAsia" w:ascii="仿宋" w:hAnsi="仿宋" w:eastAsia="仿宋"/>
                <w:color w:val="000000"/>
                <w:sz w:val="28"/>
                <w:szCs w:val="28"/>
                <w:highlight w:val="none"/>
              </w:rPr>
              <w:t>3</w:t>
            </w:r>
          </w:p>
        </w:tc>
        <w:tc>
          <w:tcPr>
            <w:tcW w:w="1491" w:type="dxa"/>
            <w:tcBorders>
              <w:top w:val="single" w:color="auto" w:sz="4" w:space="0"/>
              <w:left w:val="single" w:color="auto" w:sz="4" w:space="0"/>
              <w:bottom w:val="single" w:color="auto" w:sz="4" w:space="0"/>
              <w:right w:val="single" w:color="auto" w:sz="4" w:space="0"/>
              <w:tl2br w:val="nil"/>
              <w:tr2bl w:val="nil"/>
            </w:tcBorders>
            <w:vAlign w:val="center"/>
          </w:tcPr>
          <w:p w14:paraId="3B4208A5">
            <w:pPr>
              <w:pStyle w:val="3"/>
              <w:ind w:firstLine="560"/>
              <w:jc w:val="both"/>
              <w:rPr>
                <w:rFonts w:ascii="仿宋" w:hAnsi="仿宋" w:eastAsia="仿宋"/>
                <w:color w:val="000000"/>
                <w:sz w:val="28"/>
                <w:szCs w:val="28"/>
                <w:highlight w:val="none"/>
              </w:rPr>
            </w:pPr>
          </w:p>
        </w:tc>
        <w:tc>
          <w:tcPr>
            <w:tcW w:w="2994" w:type="dxa"/>
            <w:tcBorders>
              <w:top w:val="single" w:color="auto" w:sz="4" w:space="0"/>
              <w:left w:val="single" w:color="auto" w:sz="4" w:space="0"/>
              <w:bottom w:val="single" w:color="auto" w:sz="4" w:space="0"/>
              <w:right w:val="single" w:color="auto" w:sz="4" w:space="0"/>
              <w:tl2br w:val="nil"/>
              <w:tr2bl w:val="nil"/>
            </w:tcBorders>
            <w:vAlign w:val="center"/>
          </w:tcPr>
          <w:p w14:paraId="7B39E22F">
            <w:pPr>
              <w:pStyle w:val="3"/>
              <w:ind w:firstLine="560"/>
              <w:jc w:val="both"/>
              <w:rPr>
                <w:rFonts w:ascii="仿宋" w:hAnsi="仿宋" w:eastAsia="仿宋"/>
                <w:color w:val="000000"/>
                <w:sz w:val="28"/>
                <w:szCs w:val="28"/>
                <w:highlight w:val="none"/>
              </w:rPr>
            </w:pPr>
          </w:p>
        </w:tc>
        <w:tc>
          <w:tcPr>
            <w:tcW w:w="2994" w:type="dxa"/>
            <w:tcBorders>
              <w:top w:val="single" w:color="auto" w:sz="4" w:space="0"/>
              <w:left w:val="single" w:color="auto" w:sz="4" w:space="0"/>
              <w:bottom w:val="single" w:color="auto" w:sz="4" w:space="0"/>
              <w:right w:val="single" w:color="auto" w:sz="4" w:space="0"/>
              <w:tl2br w:val="nil"/>
              <w:tr2bl w:val="nil"/>
            </w:tcBorders>
            <w:vAlign w:val="center"/>
          </w:tcPr>
          <w:p w14:paraId="6482D193">
            <w:pPr>
              <w:pStyle w:val="3"/>
              <w:ind w:firstLine="560"/>
              <w:jc w:val="both"/>
              <w:rPr>
                <w:rFonts w:ascii="仿宋" w:hAnsi="仿宋" w:eastAsia="仿宋"/>
                <w:color w:val="000000"/>
                <w:sz w:val="28"/>
                <w:szCs w:val="28"/>
                <w:highlight w:val="none"/>
              </w:rPr>
            </w:pPr>
          </w:p>
        </w:tc>
      </w:tr>
    </w:tbl>
    <w:p w14:paraId="2FD74AAD">
      <w:pPr>
        <w:pStyle w:val="3"/>
        <w:ind w:firstLine="560"/>
        <w:jc w:val="both"/>
        <w:rPr>
          <w:rFonts w:ascii="仿宋" w:hAnsi="仿宋" w:eastAsia="仿宋"/>
          <w:color w:val="000000"/>
          <w:sz w:val="28"/>
          <w:szCs w:val="28"/>
        </w:rPr>
      </w:pPr>
      <w:r>
        <w:rPr>
          <w:rFonts w:hint="eastAsia" w:ascii="仿宋" w:hAnsi="仿宋" w:eastAsia="仿宋"/>
          <w:color w:val="000000"/>
          <w:sz w:val="28"/>
          <w:szCs w:val="28"/>
          <w:highlight w:val="none"/>
        </w:rPr>
        <w:t>本合同约定项目服务过程中，甲方有权视具体情形</w:t>
      </w:r>
      <w:r>
        <w:rPr>
          <w:rFonts w:hint="eastAsia" w:ascii="仿宋" w:hAnsi="仿宋" w:eastAsia="仿宋"/>
          <w:color w:val="000000"/>
          <w:sz w:val="28"/>
          <w:szCs w:val="28"/>
        </w:rPr>
        <w:t>要求乙方更换不适合工作组成员；乙方有权视具体情形增加或调整工作组成员，但应事先征得甲方书面同意。</w:t>
      </w:r>
    </w:p>
    <w:p w14:paraId="6B74C831">
      <w:pPr>
        <w:pStyle w:val="3"/>
        <w:ind w:firstLine="560"/>
        <w:jc w:val="both"/>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6</w:t>
      </w:r>
      <w:r>
        <w:rPr>
          <w:rFonts w:hint="eastAsia" w:ascii="仿宋" w:hAnsi="仿宋" w:eastAsia="仿宋"/>
          <w:color w:val="000000"/>
          <w:sz w:val="28"/>
          <w:szCs w:val="28"/>
        </w:rPr>
        <w:t>、最终成果均加盖乙方“相关成果专用章”（视甲方要求而定），乙方对盖有“成果专用章”的相关文件资料承担技术责任。最终成果通过水行政主管部门审核。乙方出具的成果报告必须符合国家规范要求，各类印章齐全，相关符合资质的责任人均应签字，否则视为提交报告无效。</w:t>
      </w:r>
    </w:p>
    <w:p w14:paraId="0C5FE11A">
      <w:pPr>
        <w:pStyle w:val="3"/>
        <w:ind w:firstLine="560"/>
        <w:jc w:val="both"/>
        <w:rPr>
          <w:rFonts w:ascii="仿宋" w:hAnsi="仿宋" w:eastAsia="仿宋"/>
          <w:color w:val="000000"/>
          <w:sz w:val="28"/>
          <w:szCs w:val="28"/>
        </w:rPr>
      </w:pPr>
      <w:r>
        <w:rPr>
          <w:rFonts w:ascii="仿宋" w:hAnsi="仿宋" w:eastAsia="仿宋"/>
          <w:color w:val="000000"/>
          <w:sz w:val="28"/>
          <w:szCs w:val="28"/>
        </w:rPr>
        <w:t>17</w:t>
      </w:r>
      <w:r>
        <w:rPr>
          <w:rFonts w:hint="eastAsia" w:ascii="仿宋" w:hAnsi="仿宋" w:eastAsia="仿宋"/>
          <w:color w:val="000000"/>
          <w:sz w:val="28"/>
          <w:szCs w:val="28"/>
        </w:rPr>
        <w:t>、若因报告质量造成重大经济损失或工程事故时，乙方除应承担因此产生的一切法律责任，并应赔偿委托方因此受到的损失。</w:t>
      </w:r>
    </w:p>
    <w:p w14:paraId="02BF0080">
      <w:pPr>
        <w:pStyle w:val="3"/>
        <w:ind w:firstLine="560"/>
        <w:jc w:val="both"/>
        <w:rPr>
          <w:rFonts w:hint="eastAsia" w:ascii="仿宋" w:hAnsi="仿宋" w:eastAsia="仿宋"/>
          <w:color w:val="000000"/>
          <w:sz w:val="28"/>
          <w:szCs w:val="28"/>
        </w:rPr>
      </w:pPr>
      <w:r>
        <w:rPr>
          <w:rFonts w:ascii="仿宋" w:hAnsi="仿宋" w:eastAsia="仿宋"/>
          <w:color w:val="000000"/>
          <w:sz w:val="28"/>
          <w:szCs w:val="28"/>
        </w:rPr>
        <w:t>18</w:t>
      </w:r>
      <w:r>
        <w:rPr>
          <w:rFonts w:hint="eastAsia" w:ascii="仿宋" w:hAnsi="仿宋" w:eastAsia="仿宋"/>
          <w:color w:val="000000"/>
          <w:sz w:val="28"/>
          <w:szCs w:val="28"/>
        </w:rPr>
        <w:t xml:space="preserve">、若本项目成果资料需通过相关行业主管部门评审/批复的，乙方应无条件配合评审/批复，并根据评审/批复意见修改成果资料直至通过相关行业主管部门评审/批复，如评审/批复产生的相关费用由乙方承担。 </w:t>
      </w:r>
    </w:p>
    <w:p w14:paraId="3B3E75DC">
      <w:pPr>
        <w:pStyle w:val="3"/>
        <w:ind w:firstLine="560"/>
        <w:jc w:val="both"/>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19、乙方应当独立完成委托工作，未经甲方允许，不得以任何形式将委托任务转包或分包，不得无故不接受委托服务或中止服务。</w:t>
      </w:r>
    </w:p>
    <w:p w14:paraId="52E7B4C5">
      <w:pPr>
        <w:pStyle w:val="3"/>
        <w:ind w:firstLine="560"/>
        <w:jc w:val="both"/>
        <w:rPr>
          <w:rFonts w:ascii="仿宋" w:hAnsi="仿宋" w:eastAsia="仿宋"/>
          <w:color w:val="000000"/>
          <w:sz w:val="28"/>
          <w:szCs w:val="28"/>
        </w:rPr>
      </w:pPr>
      <w:r>
        <w:rPr>
          <w:rFonts w:hint="eastAsia" w:ascii="仿宋" w:hAnsi="仿宋" w:eastAsia="仿宋"/>
          <w:color w:val="000000"/>
          <w:sz w:val="28"/>
          <w:szCs w:val="28"/>
          <w:lang w:val="en-US" w:eastAsia="zh-CN"/>
        </w:rPr>
        <w:t>20、</w:t>
      </w:r>
      <w:r>
        <w:rPr>
          <w:rFonts w:hint="eastAsia" w:ascii="仿宋" w:hAnsi="仿宋" w:eastAsia="仿宋"/>
          <w:color w:val="000000"/>
          <w:sz w:val="28"/>
          <w:szCs w:val="28"/>
        </w:rPr>
        <w:t>国家法律、法规所规定的由乙方承担的其他责任。</w:t>
      </w:r>
    </w:p>
    <w:p w14:paraId="62D369DB">
      <w:pPr>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b/>
          <w:sz w:val="28"/>
          <w:szCs w:val="28"/>
        </w:rPr>
        <w:t>第六条</w:t>
      </w:r>
      <w:r>
        <w:rPr>
          <w:rFonts w:hint="eastAsia" w:ascii="仿宋" w:hAnsi="仿宋" w:eastAsia="仿宋"/>
          <w:sz w:val="28"/>
          <w:szCs w:val="28"/>
        </w:rPr>
        <w:t xml:space="preserve"> </w:t>
      </w:r>
      <w:r>
        <w:rPr>
          <w:rFonts w:hint="eastAsia" w:ascii="仿宋" w:hAnsi="仿宋" w:eastAsia="仿宋"/>
          <w:b/>
          <w:sz w:val="28"/>
          <w:szCs w:val="28"/>
        </w:rPr>
        <w:t>违约责任</w:t>
      </w:r>
    </w:p>
    <w:p w14:paraId="4E325D37">
      <w:pPr>
        <w:ind w:firstLine="560" w:firstLineChars="200"/>
        <w:rPr>
          <w:rFonts w:ascii="仿宋" w:hAnsi="仿宋" w:eastAsia="仿宋"/>
          <w:sz w:val="28"/>
          <w:szCs w:val="28"/>
        </w:rPr>
      </w:pPr>
      <w:r>
        <w:rPr>
          <w:rFonts w:hint="eastAsia" w:ascii="仿宋" w:hAnsi="仿宋" w:eastAsia="仿宋"/>
          <w:sz w:val="28"/>
          <w:szCs w:val="28"/>
        </w:rPr>
        <w:t>1、甲乙双方必须遵守采购合同并执行合同中的各项规定，保证采购合同的正常履行。任何一方违约给对方造成的直接损失均负有赔偿责任，对方均有权视情况要求对方继续履行合同或提出解除合同。</w:t>
      </w:r>
    </w:p>
    <w:p w14:paraId="751E8F8E">
      <w:pPr>
        <w:ind w:firstLine="560" w:firstLineChars="200"/>
        <w:rPr>
          <w:rFonts w:ascii="仿宋" w:hAnsi="仿宋" w:eastAsia="仿宋"/>
          <w:sz w:val="28"/>
          <w:szCs w:val="28"/>
        </w:rPr>
      </w:pPr>
      <w:r>
        <w:rPr>
          <w:rFonts w:hint="eastAsia" w:ascii="仿宋" w:hAnsi="仿宋" w:eastAsia="仿宋"/>
          <w:sz w:val="28"/>
          <w:szCs w:val="28"/>
        </w:rPr>
        <w:t>2、甲方有权在应向乙方支付的费用中优先扣除乙方应承担的违约金、赔偿金，扣除金额视为甲方已支付相应的技术服务费用给乙方。本合同约定违约金、赔偿金不足以弥补守约方全部损失的，违约方应当补足。</w:t>
      </w:r>
    </w:p>
    <w:p w14:paraId="08C1F720">
      <w:pPr>
        <w:ind w:firstLine="560" w:firstLineChars="200"/>
        <w:rPr>
          <w:rFonts w:ascii="仿宋" w:hAnsi="仿宋" w:eastAsia="仿宋"/>
          <w:sz w:val="28"/>
          <w:szCs w:val="28"/>
        </w:rPr>
      </w:pPr>
      <w:r>
        <w:rPr>
          <w:rFonts w:hint="eastAsia" w:ascii="仿宋" w:hAnsi="仿宋" w:eastAsia="仿宋"/>
          <w:sz w:val="28"/>
          <w:szCs w:val="28"/>
        </w:rPr>
        <w:t>3、甲方违约</w:t>
      </w:r>
    </w:p>
    <w:p w14:paraId="6234CBB4">
      <w:pPr>
        <w:ind w:firstLine="560" w:firstLineChars="200"/>
        <w:rPr>
          <w:rFonts w:ascii="仿宋" w:hAnsi="仿宋" w:eastAsia="仿宋"/>
          <w:sz w:val="28"/>
          <w:szCs w:val="28"/>
        </w:rPr>
      </w:pPr>
      <w:r>
        <w:rPr>
          <w:rFonts w:hint="eastAsia" w:ascii="仿宋" w:hAnsi="仿宋" w:eastAsia="仿宋"/>
          <w:sz w:val="28"/>
          <w:szCs w:val="28"/>
        </w:rPr>
        <w:t>合同履行中发生下列情况之一的，属甲方违约：</w:t>
      </w:r>
    </w:p>
    <w:p w14:paraId="731AC1CD">
      <w:pPr>
        <w:ind w:firstLine="560" w:firstLineChars="200"/>
        <w:rPr>
          <w:rFonts w:ascii="仿宋" w:hAnsi="仿宋" w:eastAsia="仿宋"/>
          <w:sz w:val="28"/>
          <w:szCs w:val="28"/>
        </w:rPr>
      </w:pPr>
      <w:r>
        <w:rPr>
          <w:rFonts w:hint="eastAsia" w:ascii="仿宋" w:hAnsi="仿宋" w:eastAsia="仿宋"/>
          <w:sz w:val="28"/>
          <w:szCs w:val="28"/>
        </w:rPr>
        <w:t>（1）在合同履行期间，甲方要求终止或解除合同，乙方未开始编制方案工作的，退还甲方已付的所有费用；已开始工作的，甲方应根据乙方已进行的实际工作量进行补偿。</w:t>
      </w:r>
    </w:p>
    <w:p w14:paraId="6A72E870">
      <w:pPr>
        <w:ind w:firstLine="560" w:firstLineChars="200"/>
        <w:rPr>
          <w:rFonts w:ascii="仿宋" w:hAnsi="仿宋" w:eastAsia="仿宋"/>
          <w:sz w:val="28"/>
          <w:szCs w:val="28"/>
        </w:rPr>
      </w:pPr>
      <w:r>
        <w:rPr>
          <w:rFonts w:hint="eastAsia" w:ascii="仿宋" w:hAnsi="仿宋" w:eastAsia="仿宋"/>
          <w:sz w:val="28"/>
          <w:szCs w:val="28"/>
        </w:rPr>
        <w:t>（2）甲方应按本合同规定的金额和日期向乙方支付服务费。无正当理由逾期付款的，每逾期支付一天，应向乙方偿付以欠款总额为基数，以合同订立时1年期贷款市场报价利率的标准的违约金。在甲方应支付欠付款的3天内，乙方未书面主张该欠付款项违约金的，则视为乙方放弃要求甲方承担该欠付款项部分产生的违约责任。</w:t>
      </w:r>
    </w:p>
    <w:p w14:paraId="375FABF7">
      <w:pPr>
        <w:ind w:firstLine="560" w:firstLineChars="200"/>
        <w:rPr>
          <w:rFonts w:ascii="仿宋" w:hAnsi="仿宋" w:eastAsia="仿宋"/>
          <w:sz w:val="28"/>
          <w:szCs w:val="28"/>
        </w:rPr>
      </w:pPr>
      <w:r>
        <w:rPr>
          <w:rFonts w:hint="eastAsia" w:ascii="仿宋" w:hAnsi="仿宋" w:eastAsia="仿宋"/>
          <w:sz w:val="28"/>
          <w:szCs w:val="28"/>
        </w:rPr>
        <w:t>4、乙方违约</w:t>
      </w:r>
    </w:p>
    <w:p w14:paraId="658E6303">
      <w:pPr>
        <w:ind w:firstLine="560" w:firstLineChars="200"/>
        <w:rPr>
          <w:rFonts w:ascii="仿宋" w:hAnsi="仿宋" w:eastAsia="仿宋"/>
          <w:sz w:val="28"/>
          <w:szCs w:val="28"/>
        </w:rPr>
      </w:pPr>
      <w:r>
        <w:rPr>
          <w:rFonts w:hint="eastAsia" w:ascii="仿宋" w:hAnsi="仿宋" w:eastAsia="仿宋"/>
          <w:sz w:val="28"/>
          <w:szCs w:val="28"/>
        </w:rPr>
        <w:t>当乙方发生本款约定的违约情况时，甲方有权向乙方处以违约金，且不免除乙方责任。具体约定如下：</w:t>
      </w:r>
    </w:p>
    <w:p w14:paraId="0A4E9EB0">
      <w:pPr>
        <w:ind w:firstLine="560" w:firstLineChars="200"/>
        <w:rPr>
          <w:rFonts w:ascii="仿宋" w:hAnsi="仿宋" w:eastAsia="仿宋"/>
          <w:sz w:val="28"/>
          <w:szCs w:val="28"/>
        </w:rPr>
      </w:pPr>
      <w:r>
        <w:rPr>
          <w:rFonts w:hint="eastAsia" w:ascii="仿宋" w:hAnsi="仿宋" w:eastAsia="仿宋"/>
          <w:sz w:val="28"/>
          <w:szCs w:val="28"/>
        </w:rPr>
        <w:t>（1）乙方不准将项目分包或转包，违者将取消中选资格且比选人不付任何费用，并承担相应法律责任。乙方将服务任务转包，或者未经甲方书面同意擅自分包的，甲方将有权立即解除合同并不支付任何费用，并可处以方签约合同价20%的违约金。并赔偿甲方因此而受到的所有损失，包括但不限于：处罚金、重新开展验收等所需费用。</w:t>
      </w:r>
    </w:p>
    <w:p w14:paraId="7326E6FB">
      <w:pPr>
        <w:ind w:firstLine="560" w:firstLineChars="200"/>
        <w:rPr>
          <w:rFonts w:ascii="仿宋" w:hAnsi="仿宋" w:eastAsia="仿宋"/>
          <w:sz w:val="28"/>
          <w:szCs w:val="28"/>
        </w:rPr>
      </w:pPr>
      <w:r>
        <w:rPr>
          <w:rFonts w:hint="eastAsia" w:ascii="仿宋" w:hAnsi="仿宋" w:eastAsia="仿宋"/>
          <w:sz w:val="28"/>
          <w:szCs w:val="28"/>
        </w:rPr>
        <w:t>（2）乙方未按照国家及住建部现行的强制性技术标准、规范和规程，或未根据前期成果资料及甲方提供资料据实进行编制的，乙方须无条件按法律规定、合同规定标准重新进行编制，并承担签约合同价20%的违约金。</w:t>
      </w:r>
    </w:p>
    <w:p w14:paraId="51E45C8F">
      <w:pPr>
        <w:ind w:firstLine="560" w:firstLineChars="200"/>
        <w:rPr>
          <w:rFonts w:ascii="仿宋" w:hAnsi="仿宋" w:eastAsia="仿宋"/>
          <w:sz w:val="28"/>
          <w:szCs w:val="28"/>
        </w:rPr>
      </w:pPr>
      <w:r>
        <w:rPr>
          <w:rFonts w:hint="eastAsia" w:ascii="仿宋" w:hAnsi="仿宋" w:eastAsia="仿宋"/>
          <w:sz w:val="28"/>
          <w:szCs w:val="28"/>
        </w:rPr>
        <w:t>（3）乙方未按本合同约定按时完成工作内容，每逾期一日，按本合同总价0.3%/天向甲方支付违约金，甲方付款期限相应顺延且不承担任何违约责任。逾期超过10日的，甲方有权解除合同，要求乙方退还已支付的金额，并有权要求乙方按照合同总金额20%向甲方赔偿违约金。甲方有权在后续付款中扣除。如遇特殊情况（不可抗力影响以及发包人主观单方原因造成的停、窝工等）时，工期相应顺延。</w:t>
      </w:r>
    </w:p>
    <w:p w14:paraId="29EF7213">
      <w:pPr>
        <w:ind w:firstLine="560" w:firstLineChars="200"/>
        <w:rPr>
          <w:rFonts w:ascii="仿宋" w:hAnsi="仿宋" w:eastAsia="仿宋"/>
          <w:sz w:val="28"/>
          <w:szCs w:val="28"/>
        </w:rPr>
      </w:pPr>
      <w:r>
        <w:rPr>
          <w:rFonts w:hint="eastAsia" w:ascii="仿宋" w:hAnsi="仿宋" w:eastAsia="仿宋"/>
          <w:sz w:val="28"/>
          <w:szCs w:val="28"/>
        </w:rPr>
        <w:t>（4）在收到甲方（或主管部门、验收组）反馈，需在合理限期范围内提供技术支持和配合的，乙方应按要求及时完成，确保后续报备正常开展。乙方未按规定的期限内完成工作的，每延期1天(不足1天按1天计)，乙方按设计总费用的2‰/天承担违约金。若乙方拒绝服务或超过10天未进行服务的，甲方可找寻第三方开展工作，由此产生的费用由乙方全权负责。</w:t>
      </w:r>
    </w:p>
    <w:p w14:paraId="5AC68E70">
      <w:pPr>
        <w:ind w:firstLine="560" w:firstLineChars="200"/>
        <w:rPr>
          <w:rFonts w:ascii="仿宋" w:hAnsi="仿宋" w:eastAsia="仿宋"/>
          <w:sz w:val="28"/>
          <w:szCs w:val="28"/>
        </w:rPr>
      </w:pPr>
      <w:r>
        <w:rPr>
          <w:rFonts w:hint="eastAsia" w:ascii="仿宋" w:hAnsi="仿宋" w:eastAsia="仿宋"/>
          <w:sz w:val="28"/>
          <w:szCs w:val="28"/>
        </w:rPr>
        <w:t>（5）因成果文件深度不够、资料不足、缺陷以及质量低劣而被行政主管部门要求返工的，乙方负责继续完善成果文件外，还应承担因此产生的一切经济赔偿责任和法律责任，并赔偿甲方合同总价20%的违约金。</w:t>
      </w:r>
    </w:p>
    <w:p w14:paraId="79C444BE">
      <w:pPr>
        <w:ind w:firstLine="560" w:firstLineChars="200"/>
        <w:rPr>
          <w:rFonts w:ascii="仿宋" w:hAnsi="仿宋" w:eastAsia="仿宋"/>
          <w:sz w:val="28"/>
          <w:szCs w:val="28"/>
        </w:rPr>
      </w:pPr>
      <w:r>
        <w:rPr>
          <w:rFonts w:hint="eastAsia" w:ascii="仿宋" w:hAnsi="仿宋" w:eastAsia="仿宋"/>
          <w:sz w:val="28"/>
          <w:szCs w:val="28"/>
        </w:rPr>
        <w:t>（6）乙方的成果文件接受甲方（或专家组）及甲方上级主管部门审查的，凡审查意见中提出的问题，乙方应逐段的给予认真贯彻落实，提交书面的反馈意见并免费修改成果文件。修改后仍不能通过审查的（不可抗力及甲方的原因除外），视为乙方不能完成本合同约定项目，甲方有权单方面解除合同，不再支付任何费用，且要求乙方退还已经支付的费用，并有权要求乙方按照合同总金额20%承担违约金。</w:t>
      </w:r>
    </w:p>
    <w:p w14:paraId="08573177">
      <w:pPr>
        <w:ind w:firstLine="560" w:firstLineChars="200"/>
        <w:rPr>
          <w:rFonts w:ascii="仿宋" w:hAnsi="仿宋" w:eastAsia="仿宋"/>
          <w:sz w:val="28"/>
          <w:szCs w:val="28"/>
        </w:rPr>
      </w:pPr>
      <w:r>
        <w:rPr>
          <w:rFonts w:hint="eastAsia" w:ascii="仿宋" w:hAnsi="仿宋" w:eastAsia="仿宋"/>
          <w:sz w:val="28"/>
          <w:szCs w:val="28"/>
        </w:rPr>
        <w:t>（7）在收到甲方（或专家组）或上级主管部门提出的审查意见后，供应商未按规定的期限内完成对成果文件的修改，每延期1天(不足1天按1天计)，供应商按设计总费用的2‰/天承担违约金。若乙方拒绝修改或超过10天未进行修改，甲方可找寻第三方进行修改完善，由此产生的费用由乙方全权负责。</w:t>
      </w:r>
    </w:p>
    <w:p w14:paraId="17D833FA">
      <w:pPr>
        <w:ind w:firstLine="560" w:firstLineChars="200"/>
        <w:rPr>
          <w:rFonts w:ascii="仿宋" w:hAnsi="仿宋" w:eastAsia="仿宋"/>
          <w:sz w:val="28"/>
          <w:szCs w:val="28"/>
        </w:rPr>
      </w:pPr>
      <w:r>
        <w:rPr>
          <w:rFonts w:hint="eastAsia" w:ascii="仿宋" w:hAnsi="仿宋" w:eastAsia="仿宋"/>
          <w:sz w:val="28"/>
          <w:szCs w:val="28"/>
        </w:rPr>
        <w:t>（8） 由甲方提供的与工作项目有关的资料及验收所需的文件和资料，以及与工程有关的工程情况，乙方及其工作人员负责保密，不得泄漏给第三方，未经甲方书面许可，不得供给任何第三方使用。甲方所提供的技术资料与商业秘密保密，如发生泄密情况，乙方应负法律责任，甲方有权向乙方提出索赔。</w:t>
      </w:r>
      <w:r>
        <w:rPr>
          <w:rFonts w:hint="eastAsia" w:ascii="仿宋" w:hAnsi="仿宋" w:eastAsia="仿宋"/>
          <w:sz w:val="28"/>
          <w:szCs w:val="28"/>
          <w:lang w:val="en-US" w:eastAsia="zh-CN"/>
        </w:rPr>
        <w:t>水保验收回执移交</w:t>
      </w:r>
      <w:bookmarkStart w:id="1" w:name="_GoBack"/>
      <w:bookmarkEnd w:id="1"/>
      <w:r>
        <w:rPr>
          <w:rFonts w:hint="eastAsia" w:ascii="仿宋" w:hAnsi="仿宋" w:eastAsia="仿宋"/>
          <w:sz w:val="28"/>
          <w:szCs w:val="28"/>
        </w:rPr>
        <w:t>后，乙方应将甲方提供的纸质版资料按清单全部完整退还甲方或及时销毁甲方提供的全部资料。乙方泄密的依照法律法规承担责任，因此给甲方造成损失的，向甲方承担损失赔偿责任。本保密条款具有独立性，不受本合同的终止或解除的影响。</w:t>
      </w:r>
    </w:p>
    <w:p w14:paraId="143895F8">
      <w:pPr>
        <w:ind w:firstLine="560" w:firstLineChars="200"/>
        <w:rPr>
          <w:rFonts w:ascii="仿宋" w:hAnsi="仿宋" w:eastAsia="仿宋"/>
          <w:sz w:val="28"/>
          <w:szCs w:val="28"/>
        </w:rPr>
      </w:pPr>
      <w:r>
        <w:rPr>
          <w:rFonts w:hint="eastAsia" w:ascii="仿宋" w:hAnsi="仿宋" w:eastAsia="仿宋"/>
          <w:sz w:val="28"/>
          <w:szCs w:val="28"/>
        </w:rPr>
        <w:t>（9）乙方若侵犯任何第三方的知识产权、所有权等权益，应将已经收取的全部款项一次性退回给甲方，如因此给甲方造成损失的，乙方还应当赔偿由此给甲方造成的全部损失。</w:t>
      </w:r>
    </w:p>
    <w:p w14:paraId="4365BD1A">
      <w:pPr>
        <w:ind w:firstLine="560" w:firstLineChars="200"/>
        <w:rPr>
          <w:rFonts w:ascii="仿宋" w:hAnsi="仿宋" w:eastAsia="仿宋"/>
          <w:sz w:val="28"/>
          <w:szCs w:val="28"/>
        </w:rPr>
      </w:pPr>
      <w:r>
        <w:rPr>
          <w:rFonts w:hint="eastAsia" w:ascii="仿宋" w:hAnsi="仿宋" w:eastAsia="仿宋"/>
          <w:sz w:val="28"/>
          <w:szCs w:val="28"/>
        </w:rPr>
        <w:t>（10）在本工程服务过程中，由于服务单位疏忽、失职、过错等故意或者过失原因，致使出现成果质量问题、安全问题等受到报纸、电视等媒体的曝光、群体性事件、政府有关主管部门的通报批评或处罚，给业主的形象和声誉造成损失的</w:t>
      </w:r>
      <w:r>
        <w:rPr>
          <w:rFonts w:hint="eastAsia" w:ascii="仿宋" w:hAnsi="仿宋" w:eastAsia="仿宋"/>
          <w:sz w:val="28"/>
          <w:szCs w:val="28"/>
          <w:lang w:val="zh-CN"/>
        </w:rPr>
        <w:t>，乙处</w:t>
      </w:r>
      <w:r>
        <w:rPr>
          <w:rFonts w:hint="eastAsia" w:ascii="仿宋" w:hAnsi="仿宋" w:eastAsia="仿宋"/>
          <w:sz w:val="28"/>
          <w:szCs w:val="28"/>
        </w:rPr>
        <w:t>应承担</w:t>
      </w:r>
      <w:r>
        <w:rPr>
          <w:rFonts w:hint="eastAsia" w:ascii="仿宋" w:hAnsi="仿宋" w:eastAsia="仿宋"/>
          <w:sz w:val="28"/>
          <w:szCs w:val="28"/>
          <w:lang w:val="zh-CN"/>
        </w:rPr>
        <w:t xml:space="preserve"> 0.5 ～2万元且不超过服务合同价 20%的违约金。</w:t>
      </w:r>
    </w:p>
    <w:p w14:paraId="3DDBF12C">
      <w:pPr>
        <w:ind w:firstLine="560" w:firstLineChars="200"/>
        <w:rPr>
          <w:rFonts w:ascii="仿宋" w:hAnsi="仿宋" w:eastAsia="仿宋"/>
          <w:sz w:val="28"/>
          <w:szCs w:val="28"/>
        </w:rPr>
      </w:pPr>
      <w:r>
        <w:rPr>
          <w:rFonts w:hint="eastAsia" w:ascii="仿宋" w:hAnsi="仿宋" w:eastAsia="仿宋"/>
          <w:sz w:val="28"/>
          <w:szCs w:val="28"/>
        </w:rPr>
        <w:t>（11）由于乙方自身故意、失误、研判不充分等原因，导致成果参数、质量等不满足现行国家相关标准规范要求，致使项目后续备案等工作受阻的，应自费采取补救措施，并承担合同服务金额20%的违约责任。供应商不采取措施补救的，采购方有权自行委托相关单位处理，并有权直接从乙方的服务费中扣除采取补救措施所花费用，服务费不足的，采购方有权向供应商索赔。</w:t>
      </w:r>
    </w:p>
    <w:p w14:paraId="085E22EC">
      <w:pPr>
        <w:ind w:firstLine="560" w:firstLineChars="200"/>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2</w:t>
      </w:r>
      <w:r>
        <w:rPr>
          <w:rFonts w:hint="eastAsia" w:ascii="仿宋" w:hAnsi="仿宋" w:eastAsia="仿宋"/>
          <w:sz w:val="28"/>
          <w:szCs w:val="28"/>
        </w:rPr>
        <w:t>）在国家法律法规内及本协议服务范围内，若甲方对乙方的技术服务不满意的，在书面通知乙方改正后，乙方提供的服务仍旧不能让甲方满意的，甲方可以随时终止本协议，且不负任何违约责任，提前终止协议的通知一经作出，本协议即告终止，甲乙双方据实结算。</w:t>
      </w:r>
    </w:p>
    <w:p w14:paraId="3BA8FE6C">
      <w:pPr>
        <w:ind w:firstLine="560" w:firstLineChars="200"/>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3</w:t>
      </w:r>
      <w:r>
        <w:rPr>
          <w:rFonts w:hint="eastAsia" w:ascii="仿宋" w:hAnsi="仿宋" w:eastAsia="仿宋"/>
          <w:sz w:val="28"/>
          <w:szCs w:val="28"/>
        </w:rPr>
        <w:t>）如乙方因自身原因，在技术服务过程中单方提出中止服务或解除合同，乙方除了应退还甲方所有已支付的费用外，还应按合同总金额20%向甲方支付违约金。</w:t>
      </w:r>
    </w:p>
    <w:p w14:paraId="2B6D28E1">
      <w:pPr>
        <w:ind w:firstLine="560" w:firstLineChars="200"/>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4</w:t>
      </w:r>
      <w:r>
        <w:rPr>
          <w:rFonts w:hint="eastAsia" w:ascii="仿宋" w:hAnsi="仿宋" w:eastAsia="仿宋"/>
          <w:sz w:val="28"/>
          <w:szCs w:val="28"/>
        </w:rPr>
        <w:t>）甲方有权对合同规定范围内乙方的服务行为进行监督和检查，拥有监管权。有权定期核对乙方提供服务所配备的人员数量。对甲方认为不合理的部分有权下达整改通知书，并要求乙方限期整改，逾期 3 天不整改的，乙方需向甲方支付合同总金额的5%违约金；逾期10天不整改的，甲方有权终止合同，乙方则应按合同总价的10%款额向甲方偿付赔偿金，并须全额退还甲方已经付给乙方的服务款及其利息。</w:t>
      </w:r>
    </w:p>
    <w:p w14:paraId="00D976D7">
      <w:pPr>
        <w:ind w:firstLine="560" w:firstLineChars="200"/>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5</w:t>
      </w:r>
      <w:r>
        <w:rPr>
          <w:rFonts w:hint="eastAsia" w:ascii="仿宋" w:hAnsi="仿宋" w:eastAsia="仿宋"/>
          <w:sz w:val="28"/>
          <w:szCs w:val="28"/>
        </w:rPr>
        <w:t>）其他违约责任见其他条款约定。</w:t>
      </w:r>
    </w:p>
    <w:p w14:paraId="6F832E51">
      <w:pPr>
        <w:ind w:firstLine="560" w:firstLineChars="200"/>
        <w:rPr>
          <w:rFonts w:ascii="仿宋" w:hAnsi="仿宋" w:eastAsia="仿宋"/>
          <w:sz w:val="28"/>
          <w:szCs w:val="28"/>
        </w:rPr>
      </w:pPr>
      <w:r>
        <w:rPr>
          <w:rFonts w:hint="eastAsia" w:ascii="仿宋" w:hAnsi="仿宋" w:eastAsia="仿宋"/>
          <w:sz w:val="28"/>
          <w:szCs w:val="28"/>
        </w:rPr>
        <w:t>5、第三人造成的违约</w:t>
      </w:r>
    </w:p>
    <w:p w14:paraId="15D5D572">
      <w:pPr>
        <w:ind w:firstLine="560" w:firstLineChars="200"/>
        <w:rPr>
          <w:rFonts w:ascii="仿宋" w:hAnsi="仿宋" w:eastAsia="仿宋"/>
          <w:sz w:val="28"/>
          <w:szCs w:val="28"/>
        </w:rPr>
      </w:pPr>
      <w:r>
        <w:rPr>
          <w:rFonts w:hint="eastAsia" w:ascii="仿宋" w:hAnsi="仿宋" w:eastAsia="仿宋"/>
          <w:sz w:val="28"/>
          <w:szCs w:val="28"/>
        </w:rPr>
        <w:t>在履行合同过程中，一方当事人因第三人的原因造成违约的，应当向对方当事人承担违约责任。一方当事人和第三人之间的纠纷，依照法律规定或者按照约定解决。</w:t>
      </w:r>
    </w:p>
    <w:p w14:paraId="58E9762B">
      <w:pPr>
        <w:ind w:firstLine="560" w:firstLineChars="200"/>
        <w:rPr>
          <w:rFonts w:ascii="仿宋" w:hAnsi="仿宋" w:eastAsia="仿宋"/>
          <w:sz w:val="28"/>
          <w:szCs w:val="28"/>
        </w:rPr>
      </w:pPr>
      <w:r>
        <w:rPr>
          <w:rFonts w:hint="eastAsia" w:ascii="仿宋" w:hAnsi="仿宋" w:eastAsia="仿宋"/>
          <w:sz w:val="28"/>
          <w:szCs w:val="28"/>
        </w:rPr>
        <w:t xml:space="preserve">   6、除上述违约金外，违约方还应向守约方支付守约方为实现诉讼权利而产生的一切费用包括但不限于律师费、保全费、保函费等。</w:t>
      </w:r>
    </w:p>
    <w:p w14:paraId="6138E834">
      <w:pPr>
        <w:ind w:firstLine="560" w:firstLineChars="200"/>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b/>
          <w:sz w:val="28"/>
          <w:szCs w:val="28"/>
        </w:rPr>
        <w:t>第七条</w:t>
      </w:r>
      <w:r>
        <w:rPr>
          <w:rFonts w:hint="eastAsia" w:ascii="仿宋" w:hAnsi="仿宋" w:eastAsia="仿宋"/>
          <w:sz w:val="28"/>
          <w:szCs w:val="28"/>
        </w:rPr>
        <w:t xml:space="preserve"> </w:t>
      </w:r>
      <w:r>
        <w:rPr>
          <w:rFonts w:hint="eastAsia" w:ascii="仿宋" w:hAnsi="仿宋" w:eastAsia="仿宋"/>
          <w:b/>
          <w:sz w:val="28"/>
          <w:szCs w:val="28"/>
        </w:rPr>
        <w:t>合同的终止</w:t>
      </w:r>
    </w:p>
    <w:p w14:paraId="5F30EADB">
      <w:pPr>
        <w:rPr>
          <w:rFonts w:ascii="仿宋" w:hAnsi="仿宋" w:eastAsia="仿宋"/>
          <w:sz w:val="28"/>
          <w:szCs w:val="28"/>
        </w:rPr>
      </w:pPr>
      <w:r>
        <w:rPr>
          <w:rFonts w:hint="eastAsia" w:ascii="仿宋" w:hAnsi="仿宋" w:eastAsia="仿宋"/>
          <w:sz w:val="28"/>
          <w:szCs w:val="28"/>
        </w:rPr>
        <w:t xml:space="preserve">      1、本合同在双方的责任义务履行完毕后自行终止。</w:t>
      </w:r>
    </w:p>
    <w:p w14:paraId="72AEC24D">
      <w:pPr>
        <w:rPr>
          <w:rFonts w:ascii="仿宋" w:hAnsi="仿宋" w:eastAsia="仿宋"/>
          <w:sz w:val="28"/>
          <w:szCs w:val="28"/>
        </w:rPr>
      </w:pPr>
      <w:r>
        <w:rPr>
          <w:rFonts w:hint="eastAsia" w:ascii="仿宋" w:hAnsi="仿宋" w:eastAsia="仿宋"/>
          <w:sz w:val="28"/>
          <w:szCs w:val="28"/>
        </w:rPr>
        <w:t xml:space="preserve">      2、违反合同约定的责任和义务，根据违约责任终止的。</w:t>
      </w:r>
    </w:p>
    <w:p w14:paraId="3560EFA5">
      <w:pPr>
        <w:ind w:firstLine="843" w:firstLineChars="300"/>
        <w:rPr>
          <w:rFonts w:ascii="仿宋" w:hAnsi="仿宋" w:eastAsia="仿宋"/>
          <w:b/>
          <w:sz w:val="28"/>
          <w:szCs w:val="28"/>
        </w:rPr>
      </w:pPr>
      <w:r>
        <w:rPr>
          <w:rFonts w:hint="eastAsia" w:ascii="仿宋" w:hAnsi="仿宋" w:eastAsia="仿宋"/>
          <w:b/>
          <w:sz w:val="28"/>
          <w:szCs w:val="28"/>
        </w:rPr>
        <w:t>第八条 争议处理</w:t>
      </w:r>
    </w:p>
    <w:p w14:paraId="44079D8A">
      <w:pPr>
        <w:numPr>
          <w:ilvl w:val="0"/>
          <w:numId w:val="1"/>
        </w:numPr>
        <w:tabs>
          <w:tab w:val="left" w:pos="0"/>
        </w:tabs>
        <w:adjustRightInd w:val="0"/>
        <w:spacing w:line="560" w:lineRule="exact"/>
        <w:ind w:left="0" w:firstLine="560" w:firstLineChars="200"/>
        <w:rPr>
          <w:rFonts w:ascii="仿宋" w:hAnsi="仿宋" w:eastAsia="仿宋" w:cs="仿宋"/>
          <w:sz w:val="28"/>
          <w:szCs w:val="28"/>
        </w:rPr>
      </w:pPr>
      <w:r>
        <w:rPr>
          <w:rFonts w:hint="eastAsia" w:ascii="仿宋" w:hAnsi="仿宋" w:eastAsia="仿宋" w:cs="仿宋"/>
          <w:sz w:val="28"/>
          <w:szCs w:val="28"/>
        </w:rPr>
        <w:t>在执行本合同中发生的或与本合同有关的争端，双方应通过友好协商解决，经协商在10天内不能达成协议时， 因合同及合同有关事项发生的争议，按下列第（2） 种方式解决：</w:t>
      </w:r>
    </w:p>
    <w:p w14:paraId="174811AC">
      <w:pPr>
        <w:tabs>
          <w:tab w:val="left" w:pos="0"/>
        </w:tabs>
        <w:adjustRightInd w:val="0"/>
        <w:spacing w:line="560" w:lineRule="exact"/>
        <w:ind w:left="420" w:leftChars="200"/>
        <w:rPr>
          <w:rFonts w:ascii="仿宋" w:hAnsi="仿宋" w:eastAsia="仿宋" w:cs="仿宋"/>
          <w:sz w:val="28"/>
          <w:szCs w:val="28"/>
        </w:rPr>
      </w:pPr>
      <w:r>
        <w:rPr>
          <w:rFonts w:hint="eastAsia" w:ascii="仿宋" w:hAnsi="仿宋" w:eastAsia="仿宋" w:cs="仿宋"/>
          <w:sz w:val="28"/>
          <w:szCs w:val="28"/>
        </w:rPr>
        <w:t>（1）向仲裁委员会申请仲裁；</w:t>
      </w:r>
    </w:p>
    <w:p w14:paraId="5BE9CC12">
      <w:pPr>
        <w:tabs>
          <w:tab w:val="left" w:pos="0"/>
        </w:tabs>
        <w:adjustRightInd w:val="0"/>
        <w:spacing w:line="560" w:lineRule="exact"/>
        <w:ind w:left="420" w:leftChars="200"/>
        <w:rPr>
          <w:rFonts w:ascii="仿宋" w:hAnsi="仿宋" w:eastAsia="仿宋" w:cs="仿宋"/>
          <w:sz w:val="28"/>
          <w:szCs w:val="28"/>
        </w:rPr>
      </w:pPr>
      <w:r>
        <w:rPr>
          <w:rFonts w:hint="eastAsia" w:ascii="仿宋" w:hAnsi="仿宋" w:eastAsia="仿宋" w:cs="仿宋"/>
          <w:sz w:val="28"/>
          <w:szCs w:val="28"/>
        </w:rPr>
        <w:t xml:space="preserve">（2）向 </w:t>
      </w:r>
      <w:r>
        <w:rPr>
          <w:rFonts w:hint="eastAsia" w:ascii="仿宋" w:hAnsi="仿宋" w:eastAsia="仿宋" w:cs="仿宋"/>
          <w:sz w:val="28"/>
          <w:szCs w:val="28"/>
          <w:u w:val="single"/>
        </w:rPr>
        <w:t xml:space="preserve">甲方所在地 </w:t>
      </w:r>
      <w:r>
        <w:rPr>
          <w:rFonts w:hint="eastAsia" w:ascii="仿宋" w:hAnsi="仿宋" w:eastAsia="仿宋" w:cs="仿宋"/>
          <w:sz w:val="28"/>
          <w:szCs w:val="28"/>
        </w:rPr>
        <w:t>人民法院起诉。</w:t>
      </w:r>
    </w:p>
    <w:p w14:paraId="51E95D9C">
      <w:pPr>
        <w:numPr>
          <w:ilvl w:val="0"/>
          <w:numId w:val="1"/>
        </w:numPr>
        <w:tabs>
          <w:tab w:val="left" w:pos="0"/>
        </w:tabs>
        <w:adjustRightInd w:val="0"/>
        <w:spacing w:line="560" w:lineRule="exact"/>
        <w:ind w:left="0" w:firstLine="560" w:firstLineChars="200"/>
        <w:rPr>
          <w:rFonts w:ascii="仿宋" w:hAnsi="仿宋" w:eastAsia="仿宋" w:cs="仿宋"/>
          <w:sz w:val="28"/>
          <w:szCs w:val="28"/>
        </w:rPr>
      </w:pPr>
      <w:r>
        <w:rPr>
          <w:rFonts w:hint="eastAsia" w:ascii="仿宋" w:hAnsi="仿宋" w:eastAsia="仿宋" w:cs="仿宋"/>
          <w:sz w:val="28"/>
          <w:szCs w:val="28"/>
        </w:rPr>
        <w:t>其他补充内容：</w:t>
      </w:r>
      <w:bookmarkStart w:id="0" w:name="_Hlk141178428"/>
      <w:r>
        <w:rPr>
          <w:rFonts w:hint="eastAsia" w:ascii="仿宋" w:hAnsi="仿宋" w:eastAsia="仿宋" w:cs="仿宋"/>
          <w:sz w:val="28"/>
          <w:szCs w:val="28"/>
        </w:rPr>
        <w:t>违约方应当承担守约方因此支付的全部费用，包括但不限于律师费、鉴定费、保全费等等。</w:t>
      </w:r>
      <w:bookmarkEnd w:id="0"/>
    </w:p>
    <w:p w14:paraId="2E0D4F2A">
      <w:pPr>
        <w:adjustRightInd w:val="0"/>
        <w:spacing w:line="560" w:lineRule="exact"/>
        <w:ind w:left="420" w:leftChars="200"/>
        <w:rPr>
          <w:rFonts w:ascii="仿宋" w:hAnsi="仿宋" w:eastAsia="仿宋" w:cs="仿宋"/>
          <w:b/>
          <w:sz w:val="28"/>
          <w:szCs w:val="28"/>
        </w:rPr>
      </w:pPr>
      <w:r>
        <w:rPr>
          <w:rFonts w:hint="eastAsia" w:ascii="仿宋" w:hAnsi="仿宋" w:eastAsia="仿宋"/>
          <w:sz w:val="28"/>
          <w:szCs w:val="28"/>
        </w:rPr>
        <w:t xml:space="preserve"> </w:t>
      </w:r>
      <w:r>
        <w:rPr>
          <w:rFonts w:hint="eastAsia" w:ascii="仿宋" w:hAnsi="仿宋" w:eastAsia="仿宋"/>
          <w:b/>
          <w:sz w:val="28"/>
          <w:szCs w:val="28"/>
        </w:rPr>
        <w:t>第九条</w:t>
      </w:r>
      <w:r>
        <w:rPr>
          <w:rFonts w:hint="eastAsia" w:ascii="仿宋" w:hAnsi="仿宋" w:eastAsia="仿宋"/>
          <w:sz w:val="28"/>
          <w:szCs w:val="28"/>
        </w:rPr>
        <w:t xml:space="preserve"> </w:t>
      </w:r>
      <w:r>
        <w:rPr>
          <w:rFonts w:hint="eastAsia" w:ascii="仿宋" w:hAnsi="仿宋" w:eastAsia="仿宋" w:cs="仿宋"/>
          <w:b/>
          <w:sz w:val="28"/>
          <w:szCs w:val="28"/>
        </w:rPr>
        <w:t xml:space="preserve">  不可抗力事件处理</w:t>
      </w:r>
    </w:p>
    <w:p w14:paraId="4759BF1F">
      <w:pPr>
        <w:pStyle w:val="4"/>
        <w:ind w:left="0" w:firstLine="560" w:firstLineChars="200"/>
        <w:rPr>
          <w:rFonts w:hint="default" w:ascii="仿宋" w:hAnsi="仿宋" w:eastAsia="仿宋" w:cs="仿宋"/>
          <w:sz w:val="28"/>
          <w:szCs w:val="28"/>
        </w:rPr>
      </w:pPr>
      <w:r>
        <w:rPr>
          <w:rFonts w:ascii="仿宋" w:hAnsi="仿宋" w:eastAsia="仿宋" w:cs="仿宋"/>
          <w:sz w:val="28"/>
          <w:szCs w:val="28"/>
        </w:rPr>
        <w:t>各方确定，出现下列情形，致使本合同的履行成为不必要或不可能的，可以解除本合同：</w:t>
      </w:r>
    </w:p>
    <w:p w14:paraId="7766B7AF">
      <w:pPr>
        <w:pStyle w:val="4"/>
        <w:ind w:left="0" w:firstLine="560" w:firstLineChars="200"/>
        <w:rPr>
          <w:rFonts w:hint="default" w:ascii="仿宋" w:hAnsi="仿宋" w:eastAsia="仿宋" w:cs="仿宋"/>
          <w:sz w:val="28"/>
          <w:szCs w:val="28"/>
        </w:rPr>
      </w:pPr>
      <w:r>
        <w:rPr>
          <w:rFonts w:ascii="仿宋" w:hAnsi="仿宋" w:eastAsia="仿宋" w:cs="仿宋"/>
          <w:sz w:val="28"/>
          <w:szCs w:val="28"/>
        </w:rPr>
        <w:t>1．相关政策发生重大变化；</w:t>
      </w:r>
    </w:p>
    <w:p w14:paraId="42BF3B9E">
      <w:pPr>
        <w:pStyle w:val="4"/>
        <w:ind w:left="0" w:firstLine="560" w:firstLineChars="200"/>
        <w:rPr>
          <w:rFonts w:hint="default" w:ascii="仿宋" w:hAnsi="仿宋" w:eastAsia="仿宋" w:cs="仿宋"/>
          <w:sz w:val="28"/>
          <w:szCs w:val="28"/>
        </w:rPr>
      </w:pPr>
      <w:r>
        <w:rPr>
          <w:rFonts w:ascii="仿宋" w:hAnsi="仿宋" w:eastAsia="仿宋" w:cs="仿宋"/>
          <w:sz w:val="28"/>
          <w:szCs w:val="28"/>
        </w:rPr>
        <w:t>2．发生不可抗力。</w:t>
      </w:r>
    </w:p>
    <w:p w14:paraId="1CE0E98F">
      <w:pPr>
        <w:pStyle w:val="4"/>
        <w:ind w:left="0" w:firstLine="560" w:firstLineChars="200"/>
        <w:rPr>
          <w:rFonts w:hint="default" w:ascii="仿宋" w:hAnsi="仿宋" w:eastAsia="仿宋" w:cs="仿宋"/>
          <w:sz w:val="28"/>
          <w:szCs w:val="28"/>
        </w:rPr>
      </w:pPr>
      <w:r>
        <w:rPr>
          <w:rFonts w:ascii="仿宋" w:hAnsi="仿宋" w:eastAsia="仿宋" w:cs="仿宋"/>
          <w:sz w:val="28"/>
          <w:szCs w:val="28"/>
        </w:rPr>
        <w:t>（1）本合同所称的不可抗力是指甲方和乙方在订立合同时不可预见，在履行合同过程中不可避免发生并不能克服的自然灾害和社会性突发事件，如地震、海啸、瘟疫、水灾、骚乱、暴动、战争和专用合同条款约定的其他情形。以下不可预见因素等同于不可抗力：县级或县级以上人民政府或发包人上级领导单位发文内容涉及本合同内容并足以造成发包人无法履行或按约定时间履行合同约定义务的、规划调整的；政府行为、政府政策变更；法律规定或其适用的变化。</w:t>
      </w:r>
    </w:p>
    <w:p w14:paraId="25863DBC">
      <w:pPr>
        <w:pStyle w:val="4"/>
        <w:ind w:left="0" w:firstLine="560" w:firstLineChars="200"/>
        <w:rPr>
          <w:rFonts w:hint="default" w:ascii="仿宋" w:hAnsi="仿宋" w:eastAsia="仿宋" w:cs="仿宋"/>
          <w:sz w:val="28"/>
          <w:szCs w:val="28"/>
        </w:rPr>
      </w:pPr>
      <w:r>
        <w:rPr>
          <w:rFonts w:ascii="仿宋" w:hAnsi="仿宋" w:eastAsia="仿宋" w:cs="仿宋"/>
          <w:sz w:val="28"/>
          <w:szCs w:val="28"/>
        </w:rPr>
        <w:t>（2）不可抗力发生后，甲方和乙方应及时认真统计所造成的损失，收集不可抗力造成损失的证据。</w:t>
      </w:r>
    </w:p>
    <w:p w14:paraId="5C27615D">
      <w:pPr>
        <w:pStyle w:val="4"/>
        <w:ind w:left="0" w:firstLine="560" w:firstLineChars="200"/>
        <w:rPr>
          <w:rFonts w:hint="default" w:ascii="仿宋" w:hAnsi="仿宋" w:eastAsia="仿宋" w:cs="仿宋"/>
          <w:sz w:val="28"/>
          <w:szCs w:val="28"/>
        </w:rPr>
      </w:pPr>
      <w:r>
        <w:rPr>
          <w:rFonts w:ascii="仿宋" w:hAnsi="仿宋" w:eastAsia="仿宋" w:cs="仿宋"/>
          <w:sz w:val="28"/>
          <w:szCs w:val="28"/>
        </w:rPr>
        <w:t>（3）因不可抗力致使本合同中任何一方部分或全部不能履行本合同的，遭受不可抗力的一方无需向对方承担违约责任，但应及时以书面形式通知对方，并在发出通知后的3日内向对方提供不可抗力发生以及持续期间的充分证据。</w:t>
      </w:r>
    </w:p>
    <w:p w14:paraId="6FA3D629">
      <w:pPr>
        <w:pStyle w:val="4"/>
        <w:ind w:left="0" w:firstLine="560" w:firstLineChars="200"/>
        <w:rPr>
          <w:rFonts w:hint="default" w:ascii="仿宋" w:hAnsi="仿宋" w:eastAsia="仿宋" w:cs="仿宋"/>
          <w:sz w:val="28"/>
          <w:szCs w:val="28"/>
        </w:rPr>
      </w:pPr>
      <w:r>
        <w:rPr>
          <w:rFonts w:ascii="仿宋" w:hAnsi="仿宋" w:eastAsia="仿宋" w:cs="仿宋"/>
          <w:sz w:val="28"/>
          <w:szCs w:val="28"/>
        </w:rPr>
        <w:t>（4）如果不可抗力情况消失后，本合同仍有必要履行且具备继续履行的条件，双方应继续履行本合同；如果因不可抗力导致本合同没有必要或无法继续履行或者不可抗力事件或其影响持续超过30天双方仍未达成共同认可的解决方案的，本合同任何一方均有权提出解除本合同。</w:t>
      </w:r>
    </w:p>
    <w:p w14:paraId="5D886244">
      <w:pPr>
        <w:pStyle w:val="4"/>
        <w:ind w:left="0" w:firstLine="560" w:firstLineChars="200"/>
        <w:rPr>
          <w:rFonts w:hint="default" w:ascii="仿宋" w:hAnsi="仿宋" w:eastAsia="仿宋" w:cs="仿宋"/>
          <w:sz w:val="28"/>
          <w:szCs w:val="28"/>
        </w:rPr>
      </w:pPr>
      <w:r>
        <w:rPr>
          <w:rFonts w:ascii="仿宋" w:hAnsi="仿宋" w:eastAsia="仿宋" w:cs="仿宋"/>
          <w:sz w:val="28"/>
          <w:szCs w:val="28"/>
        </w:rPr>
        <w:t>（5）不可抗力后果及其处理</w:t>
      </w:r>
    </w:p>
    <w:p w14:paraId="0230D3EF">
      <w:pPr>
        <w:pStyle w:val="4"/>
        <w:ind w:left="0" w:firstLine="560" w:firstLineChars="200"/>
        <w:rPr>
          <w:rFonts w:hint="default" w:ascii="仿宋" w:hAnsi="仿宋" w:eastAsia="仿宋" w:cs="仿宋"/>
          <w:sz w:val="28"/>
          <w:szCs w:val="28"/>
        </w:rPr>
      </w:pPr>
      <w:r>
        <w:rPr>
          <w:rFonts w:ascii="仿宋" w:hAnsi="仿宋" w:eastAsia="仿宋" w:cs="仿宋"/>
          <w:sz w:val="28"/>
          <w:szCs w:val="28"/>
        </w:rPr>
        <w:t>1）不可抗力引起的后果及其损失，应由合同当事人依据法律规定各自承担。不可抗力发生前已完成的工作，应当按照合同约定进行支付。</w:t>
      </w:r>
    </w:p>
    <w:p w14:paraId="7C87F4EC">
      <w:pPr>
        <w:pStyle w:val="4"/>
        <w:ind w:left="0" w:firstLine="560" w:firstLineChars="200"/>
        <w:rPr>
          <w:rFonts w:hint="default" w:ascii="仿宋" w:hAnsi="仿宋" w:eastAsia="仿宋" w:cs="仿宋"/>
          <w:sz w:val="28"/>
          <w:szCs w:val="28"/>
        </w:rPr>
      </w:pPr>
      <w:r>
        <w:rPr>
          <w:rFonts w:ascii="仿宋" w:hAnsi="仿宋" w:eastAsia="仿宋" w:cs="仿宋"/>
          <w:sz w:val="28"/>
          <w:szCs w:val="28"/>
        </w:rPr>
        <w:t>2）不可抗力发生后，合同当事人应当采取有效措施避免损失进一步扩大，如未采取有效措施致使损失扩大的，应当自行承担扩大部分的损失。</w:t>
      </w:r>
    </w:p>
    <w:p w14:paraId="6FC791C8">
      <w:pPr>
        <w:pStyle w:val="4"/>
        <w:ind w:left="0" w:firstLine="560" w:firstLineChars="200"/>
        <w:rPr>
          <w:rFonts w:hint="default"/>
          <w:sz w:val="28"/>
          <w:szCs w:val="28"/>
        </w:rPr>
      </w:pPr>
      <w:r>
        <w:rPr>
          <w:rFonts w:ascii="仿宋" w:hAnsi="仿宋" w:eastAsia="仿宋" w:cs="仿宋"/>
          <w:sz w:val="28"/>
          <w:szCs w:val="28"/>
        </w:rPr>
        <w:t>3）因一方当事人迟延履行合同义务，致使迟延履行期间遭遇不可抗力的，应由该当事人承担全部损失。</w:t>
      </w:r>
    </w:p>
    <w:p w14:paraId="43BD0008">
      <w:pPr>
        <w:adjustRightInd w:val="0"/>
        <w:spacing w:line="560" w:lineRule="exact"/>
        <w:ind w:left="420" w:leftChars="200"/>
        <w:rPr>
          <w:rFonts w:ascii="仿宋" w:hAnsi="仿宋" w:eastAsia="仿宋" w:cs="仿宋"/>
          <w:b/>
          <w:sz w:val="28"/>
          <w:szCs w:val="28"/>
        </w:rPr>
      </w:pPr>
      <w:r>
        <w:rPr>
          <w:rFonts w:hint="eastAsia" w:ascii="仿宋" w:hAnsi="仿宋" w:eastAsia="仿宋" w:cs="仿宋"/>
          <w:b/>
          <w:sz w:val="28"/>
          <w:szCs w:val="28"/>
        </w:rPr>
        <w:t>第十条  合同生效及其他</w:t>
      </w:r>
    </w:p>
    <w:p w14:paraId="43D52405">
      <w:pPr>
        <w:numPr>
          <w:ilvl w:val="0"/>
          <w:numId w:val="2"/>
        </w:numPr>
        <w:adjustRightInd w:val="0"/>
        <w:spacing w:line="560" w:lineRule="exact"/>
        <w:ind w:left="0" w:firstLine="560" w:firstLineChars="200"/>
        <w:rPr>
          <w:rFonts w:ascii="仿宋" w:hAnsi="仿宋" w:eastAsia="仿宋" w:cs="仿宋"/>
          <w:sz w:val="28"/>
          <w:szCs w:val="28"/>
        </w:rPr>
      </w:pPr>
      <w:r>
        <w:rPr>
          <w:rFonts w:hint="eastAsia" w:ascii="仿宋" w:hAnsi="仿宋" w:eastAsia="仿宋" w:cs="仿宋"/>
          <w:sz w:val="28"/>
          <w:szCs w:val="28"/>
        </w:rPr>
        <w:t>合同经双方法定代表人或授权委托代理人签字并加盖单位公章后生效。</w:t>
      </w:r>
    </w:p>
    <w:p w14:paraId="4D82F740">
      <w:pPr>
        <w:numPr>
          <w:ilvl w:val="0"/>
          <w:numId w:val="2"/>
        </w:numPr>
        <w:adjustRightInd w:val="0"/>
        <w:spacing w:line="560" w:lineRule="exact"/>
        <w:ind w:left="0" w:firstLine="560" w:firstLineChars="200"/>
        <w:rPr>
          <w:rFonts w:ascii="仿宋" w:hAnsi="仿宋" w:eastAsia="仿宋" w:cs="仿宋"/>
          <w:sz w:val="28"/>
          <w:szCs w:val="28"/>
        </w:rPr>
      </w:pPr>
      <w:r>
        <w:rPr>
          <w:rFonts w:hint="eastAsia" w:ascii="仿宋" w:hAnsi="仿宋" w:eastAsia="仿宋" w:cs="仿宋"/>
          <w:sz w:val="28"/>
          <w:szCs w:val="28"/>
        </w:rPr>
        <w:t>合同执行中涉及采购资金和采购内容修改或补充的，须经甲方单位采购监管部门审批，并签书面补充协议报采购监督管理部门备案，方可作为主合同不可分割的一部分。</w:t>
      </w:r>
    </w:p>
    <w:p w14:paraId="6C68CE73">
      <w:pPr>
        <w:numPr>
          <w:ilvl w:val="0"/>
          <w:numId w:val="2"/>
        </w:numPr>
        <w:adjustRightInd w:val="0"/>
        <w:spacing w:line="560" w:lineRule="exact"/>
        <w:ind w:left="0" w:firstLine="560" w:firstLineChars="200"/>
        <w:rPr>
          <w:rFonts w:ascii="仿宋" w:hAnsi="仿宋" w:eastAsia="仿宋" w:cs="仿宋"/>
          <w:sz w:val="28"/>
          <w:szCs w:val="28"/>
        </w:rPr>
      </w:pPr>
      <w:r>
        <w:rPr>
          <w:rFonts w:hint="eastAsia" w:ascii="仿宋" w:hAnsi="仿宋" w:eastAsia="仿宋" w:cs="仿宋"/>
          <w:sz w:val="28"/>
          <w:szCs w:val="28"/>
        </w:rPr>
        <w:t>本</w:t>
      </w:r>
      <w:r>
        <w:rPr>
          <w:rFonts w:hint="eastAsia" w:ascii="仿宋" w:hAnsi="仿宋" w:eastAsia="仿宋" w:cs="仿宋"/>
          <w:sz w:val="28"/>
          <w:szCs w:val="28"/>
          <w:highlight w:val="none"/>
        </w:rPr>
        <w:t>合同一式</w:t>
      </w:r>
      <w:r>
        <w:rPr>
          <w:rFonts w:hint="eastAsia" w:ascii="仿宋" w:hAnsi="仿宋" w:eastAsia="仿宋" w:cs="仿宋"/>
          <w:sz w:val="28"/>
          <w:szCs w:val="28"/>
          <w:highlight w:val="none"/>
          <w:u w:val="single"/>
        </w:rPr>
        <w:t xml:space="preserve"> 陆 </w:t>
      </w:r>
      <w:r>
        <w:rPr>
          <w:rFonts w:hint="eastAsia" w:ascii="仿宋" w:hAnsi="仿宋" w:eastAsia="仿宋" w:cs="仿宋"/>
          <w:sz w:val="28"/>
          <w:szCs w:val="28"/>
          <w:highlight w:val="none"/>
        </w:rPr>
        <w:t>份，具有同等法律效力，甲</w:t>
      </w:r>
      <w:r>
        <w:rPr>
          <w:rFonts w:hint="eastAsia" w:ascii="仿宋" w:hAnsi="仿宋" w:eastAsia="仿宋" w:cs="仿宋"/>
          <w:sz w:val="28"/>
          <w:szCs w:val="28"/>
        </w:rPr>
        <w:t>乙双方各叁份，具有同等法律效力。</w:t>
      </w:r>
    </w:p>
    <w:p w14:paraId="153EEA7C">
      <w:pPr>
        <w:numPr>
          <w:ilvl w:val="0"/>
          <w:numId w:val="2"/>
        </w:numPr>
        <w:adjustRightInd w:val="0"/>
        <w:spacing w:line="560" w:lineRule="exact"/>
        <w:ind w:left="0" w:firstLine="560" w:firstLineChars="200"/>
        <w:rPr>
          <w:rFonts w:ascii="仿宋" w:hAnsi="仿宋" w:eastAsia="仿宋" w:cs="仿宋"/>
          <w:sz w:val="28"/>
          <w:szCs w:val="28"/>
        </w:rPr>
      </w:pPr>
      <w:r>
        <w:rPr>
          <w:rFonts w:hint="eastAsia" w:ascii="仿宋" w:hAnsi="仿宋" w:eastAsia="仿宋" w:cs="仿宋"/>
          <w:sz w:val="28"/>
          <w:szCs w:val="28"/>
        </w:rPr>
        <w:t>本合同执行期间,双方所有正式通知均使用书面形式(包括传真、微信、email等形式)进行。 各方确认合同尾页所列地址为信函、快递资料及司法机关的诉讼文书送达地址用于接收各类通知、函件、诉讼文书等。相应文件向该联系地址发出后，自发出三日后即视为送达，受送达人拒收或其他无法送达情形均不影响送达效力。一方变更送达地址的，应自变更之日起3日内以书面形式通知对方，否则，一方按照原送达地址发出通知的，视为已送达给接收方。</w:t>
      </w:r>
    </w:p>
    <w:p w14:paraId="0099B206">
      <w:pPr>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5.在本合同有效期内，甲方指定 ：             （电话：             ） 为甲方项目联系人，乙方指定：</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（电话：</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 xml:space="preserve"> ）为乙方项目联系人。项目联系人承担以下责任：</w:t>
      </w:r>
    </w:p>
    <w:p w14:paraId="1DA5ED1A">
      <w:pPr>
        <w:ind w:firstLine="560" w:firstLineChars="200"/>
        <w:rPr>
          <w:rFonts w:ascii="仿宋" w:hAnsi="仿宋" w:eastAsia="仿宋" w:cs="仿宋"/>
          <w:sz w:val="28"/>
          <w:szCs w:val="28"/>
        </w:rPr>
      </w:pPr>
      <w:r>
        <w:rPr>
          <w:rFonts w:hint="eastAsia" w:ascii="仿宋" w:hAnsi="仿宋" w:eastAsia="仿宋" w:cs="仿宋"/>
          <w:sz w:val="28"/>
          <w:szCs w:val="28"/>
        </w:rPr>
        <w:t>1）加强项目工作期间的各种协调 ；</w:t>
      </w:r>
    </w:p>
    <w:p w14:paraId="323EA8BC">
      <w:pPr>
        <w:ind w:firstLine="560" w:firstLineChars="200"/>
        <w:rPr>
          <w:rFonts w:ascii="仿宋" w:hAnsi="仿宋" w:eastAsia="仿宋" w:cs="仿宋"/>
          <w:sz w:val="28"/>
          <w:szCs w:val="28"/>
        </w:rPr>
      </w:pPr>
      <w:r>
        <w:rPr>
          <w:rFonts w:hint="eastAsia" w:ascii="仿宋" w:hAnsi="仿宋" w:eastAsia="仿宋" w:cs="仿宋"/>
          <w:sz w:val="28"/>
          <w:szCs w:val="28"/>
        </w:rPr>
        <w:t>2）加强项目工作进度和成果质量监督等 。</w:t>
      </w:r>
    </w:p>
    <w:p w14:paraId="5172B7EA">
      <w:pPr>
        <w:ind w:firstLine="560" w:firstLineChars="200"/>
        <w:rPr>
          <w:rFonts w:ascii="仿宋" w:hAnsi="仿宋" w:eastAsia="仿宋" w:cs="仿宋"/>
          <w:sz w:val="28"/>
          <w:szCs w:val="28"/>
        </w:rPr>
      </w:pPr>
      <w:r>
        <w:rPr>
          <w:rFonts w:hint="eastAsia" w:ascii="仿宋" w:hAnsi="仿宋" w:eastAsia="仿宋" w:cs="仿宋"/>
          <w:sz w:val="28"/>
          <w:szCs w:val="28"/>
        </w:rPr>
        <w:t>一方变更项目联系人的，应当及时以书面形式通知另一方，获得书面同意后方可更换。未及时通知并影响本合同履行或造成损失的，应承担相应的责任。</w:t>
      </w:r>
    </w:p>
    <w:p w14:paraId="73013A9F">
      <w:pPr>
        <w:ind w:firstLine="560" w:firstLineChars="200"/>
        <w:rPr>
          <w:rFonts w:ascii="仿宋" w:hAnsi="仿宋" w:eastAsia="仿宋" w:cs="仿宋"/>
          <w:sz w:val="28"/>
          <w:szCs w:val="28"/>
        </w:rPr>
      </w:pPr>
      <w:r>
        <w:rPr>
          <w:rFonts w:hint="eastAsia" w:ascii="仿宋" w:hAnsi="仿宋" w:eastAsia="仿宋" w:cs="仿宋"/>
          <w:sz w:val="28"/>
          <w:szCs w:val="28"/>
        </w:rPr>
        <w:t>6.本合同未尽事宜，根据会议纪要约定以及类似项目管理经验，本着友好协商一致的原则解决，协商一致可签订补充协议，与本合同具有同等法律效力。</w:t>
      </w:r>
    </w:p>
    <w:p w14:paraId="34B8EA78">
      <w:pPr>
        <w:ind w:firstLine="560" w:firstLineChars="200"/>
        <w:rPr>
          <w:rFonts w:ascii="仿宋" w:hAnsi="仿宋" w:eastAsia="仿宋"/>
          <w:sz w:val="28"/>
          <w:szCs w:val="28"/>
        </w:rPr>
      </w:pPr>
      <w:r>
        <w:rPr>
          <w:rFonts w:hint="eastAsia" w:ascii="仿宋" w:hAnsi="仿宋" w:eastAsia="仿宋"/>
          <w:sz w:val="28"/>
          <w:szCs w:val="28"/>
        </w:rPr>
        <w:t xml:space="preserve">   </w:t>
      </w:r>
    </w:p>
    <w:p w14:paraId="72C8C76B">
      <w:pPr>
        <w:ind w:firstLine="560" w:firstLineChars="200"/>
        <w:rPr>
          <w:rFonts w:ascii="仿宋" w:hAnsi="仿宋" w:eastAsia="仿宋"/>
          <w:sz w:val="28"/>
          <w:szCs w:val="28"/>
        </w:rPr>
      </w:pPr>
      <w:r>
        <w:rPr>
          <w:rFonts w:hint="eastAsia" w:ascii="仿宋" w:hAnsi="仿宋" w:eastAsia="仿宋"/>
          <w:sz w:val="28"/>
          <w:szCs w:val="28"/>
        </w:rPr>
        <w:t>（以下无正文，为签章页）</w:t>
      </w:r>
    </w:p>
    <w:p w14:paraId="1AF4FC90">
      <w:pPr>
        <w:ind w:firstLine="560" w:firstLineChars="200"/>
        <w:rPr>
          <w:rFonts w:hint="eastAsia" w:ascii="仿宋" w:hAnsi="仿宋" w:eastAsia="仿宋"/>
          <w:sz w:val="28"/>
          <w:szCs w:val="28"/>
        </w:rPr>
      </w:pPr>
    </w:p>
    <w:p w14:paraId="4942994D">
      <w:pPr>
        <w:ind w:firstLine="560" w:firstLineChars="200"/>
        <w:rPr>
          <w:rFonts w:ascii="仿宋" w:hAnsi="仿宋" w:eastAsia="仿宋"/>
          <w:sz w:val="28"/>
          <w:szCs w:val="28"/>
        </w:rPr>
      </w:pPr>
      <w:r>
        <w:rPr>
          <w:rFonts w:hint="eastAsia" w:ascii="仿宋" w:hAnsi="仿宋" w:eastAsia="仿宋"/>
          <w:sz w:val="28"/>
          <w:szCs w:val="28"/>
        </w:rPr>
        <w:t xml:space="preserve">    </w:t>
      </w:r>
    </w:p>
    <w:tbl>
      <w:tblPr>
        <w:tblStyle w:val="11"/>
        <w:tblW w:w="0" w:type="auto"/>
        <w:jc w:val="center"/>
        <w:tblLayout w:type="autofit"/>
        <w:tblCellMar>
          <w:top w:w="0" w:type="dxa"/>
          <w:left w:w="28" w:type="dxa"/>
          <w:bottom w:w="0" w:type="dxa"/>
          <w:right w:w="28" w:type="dxa"/>
        </w:tblCellMar>
      </w:tblPr>
      <w:tblGrid>
        <w:gridCol w:w="3816"/>
        <w:gridCol w:w="241"/>
        <w:gridCol w:w="4012"/>
        <w:gridCol w:w="237"/>
      </w:tblGrid>
      <w:tr w14:paraId="0F74DCFD">
        <w:tblPrEx>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vAlign w:val="center"/>
          </w:tcPr>
          <w:p w14:paraId="46068E41">
            <w:pPr>
              <w:spacing w:line="360" w:lineRule="auto"/>
              <w:rPr>
                <w:rFonts w:ascii="Times New Roman" w:hAnsi="Times New Roman" w:eastAsia="宋体"/>
                <w:kern w:val="0"/>
                <w:sz w:val="24"/>
                <w:szCs w:val="24"/>
              </w:rPr>
            </w:pPr>
            <w:r>
              <w:rPr>
                <w:rFonts w:ascii="宋体" w:hAnsi="Times New Roman" w:eastAsia="宋体"/>
                <w:b/>
                <w:kern w:val="0"/>
                <w:sz w:val="24"/>
                <w:szCs w:val="24"/>
              </w:rPr>
              <w:t>甲方（盖章）：</w:t>
            </w:r>
          </w:p>
          <w:p w14:paraId="2C06D736">
            <w:pPr>
              <w:spacing w:line="360" w:lineRule="auto"/>
              <w:rPr>
                <w:rFonts w:ascii="Times New Roman" w:hAnsi="Times New Roman" w:eastAsia="宋体"/>
                <w:kern w:val="0"/>
                <w:sz w:val="24"/>
                <w:szCs w:val="24"/>
              </w:rPr>
            </w:pPr>
            <w:r>
              <w:rPr>
                <w:rFonts w:ascii="宋体" w:hAnsi="Times New Roman" w:eastAsia="宋体"/>
                <w:kern w:val="0"/>
                <w:sz w:val="24"/>
                <w:szCs w:val="24"/>
              </w:rPr>
              <w:t>甘孜州海螺沟冰川实业有限公司</w:t>
            </w:r>
          </w:p>
          <w:p w14:paraId="46F50356">
            <w:pPr>
              <w:wordWrap w:val="0"/>
              <w:topLinePunct/>
              <w:spacing w:line="360" w:lineRule="auto"/>
              <w:textAlignment w:val="center"/>
              <w:rPr>
                <w:rFonts w:ascii="Times New Roman" w:hAnsi="Times New Roman" w:eastAsia="宋体"/>
                <w:b/>
                <w:kern w:val="0"/>
                <w:sz w:val="24"/>
                <w:szCs w:val="24"/>
              </w:rPr>
            </w:pPr>
          </w:p>
        </w:tc>
        <w:tc>
          <w:tcPr>
            <w:tcW w:w="241" w:type="dxa"/>
            <w:tcBorders>
              <w:top w:val="nil"/>
              <w:left w:val="nil"/>
              <w:bottom w:val="nil"/>
              <w:right w:val="nil"/>
              <w:tl2br w:val="nil"/>
              <w:tr2bl w:val="nil"/>
            </w:tcBorders>
            <w:vAlign w:val="center"/>
          </w:tcPr>
          <w:p w14:paraId="28A4CFA6">
            <w:pPr>
              <w:wordWrap w:val="0"/>
              <w:topLinePunct/>
              <w:spacing w:line="360" w:lineRule="auto"/>
              <w:textAlignment w:val="center"/>
              <w:rPr>
                <w:rFonts w:ascii="Times New Roman" w:hAnsi="Times New Roman" w:eastAsia="宋体"/>
                <w:b/>
                <w:kern w:val="0"/>
                <w:sz w:val="24"/>
                <w:szCs w:val="24"/>
              </w:rPr>
            </w:pPr>
          </w:p>
        </w:tc>
        <w:tc>
          <w:tcPr>
            <w:tcW w:w="4012" w:type="dxa"/>
            <w:tcBorders>
              <w:top w:val="nil"/>
              <w:left w:val="nil"/>
              <w:bottom w:val="nil"/>
              <w:right w:val="nil"/>
              <w:tl2br w:val="nil"/>
              <w:tr2bl w:val="nil"/>
            </w:tcBorders>
            <w:vAlign w:val="center"/>
          </w:tcPr>
          <w:p w14:paraId="692F21C9">
            <w:pPr>
              <w:spacing w:line="360" w:lineRule="auto"/>
              <w:rPr>
                <w:rFonts w:ascii="Times New Roman" w:hAnsi="Times New Roman" w:eastAsia="宋体"/>
                <w:kern w:val="0"/>
                <w:sz w:val="24"/>
                <w:szCs w:val="24"/>
              </w:rPr>
            </w:pPr>
            <w:r>
              <w:rPr>
                <w:rFonts w:ascii="宋体" w:hAnsi="Times New Roman" w:eastAsia="宋体"/>
                <w:b/>
                <w:kern w:val="0"/>
                <w:sz w:val="24"/>
                <w:szCs w:val="24"/>
              </w:rPr>
              <w:t>乙方（盖章）：</w:t>
            </w:r>
          </w:p>
          <w:p w14:paraId="5109A494">
            <w:pPr>
              <w:spacing w:line="360" w:lineRule="auto"/>
              <w:rPr>
                <w:rFonts w:ascii="Times New Roman" w:hAnsi="Times New Roman" w:eastAsia="宋体"/>
                <w:b/>
                <w:kern w:val="0"/>
                <w:sz w:val="24"/>
                <w:szCs w:val="24"/>
              </w:rPr>
            </w:pPr>
          </w:p>
        </w:tc>
        <w:tc>
          <w:tcPr>
            <w:tcW w:w="237" w:type="dxa"/>
            <w:tcBorders>
              <w:top w:val="nil"/>
              <w:left w:val="nil"/>
              <w:bottom w:val="nil"/>
              <w:right w:val="nil"/>
              <w:tl2br w:val="nil"/>
              <w:tr2bl w:val="nil"/>
            </w:tcBorders>
            <w:vAlign w:val="center"/>
          </w:tcPr>
          <w:p w14:paraId="21AC7026">
            <w:pPr>
              <w:wordWrap w:val="0"/>
              <w:topLinePunct/>
              <w:spacing w:line="360" w:lineRule="auto"/>
              <w:textAlignment w:val="center"/>
              <w:rPr>
                <w:rFonts w:ascii="Times New Roman" w:hAnsi="Times New Roman" w:eastAsia="宋体"/>
                <w:b/>
                <w:kern w:val="0"/>
                <w:sz w:val="24"/>
                <w:szCs w:val="24"/>
              </w:rPr>
            </w:pPr>
          </w:p>
        </w:tc>
      </w:tr>
      <w:tr w14:paraId="1D6D69CF">
        <w:tblPrEx>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vAlign w:val="center"/>
          </w:tcPr>
          <w:p w14:paraId="537A3AB9">
            <w:pPr>
              <w:spacing w:line="360" w:lineRule="auto"/>
              <w:rPr>
                <w:rFonts w:ascii="Times New Roman" w:hAnsi="Times New Roman" w:eastAsia="宋体"/>
                <w:b/>
                <w:kern w:val="0"/>
                <w:sz w:val="24"/>
                <w:szCs w:val="24"/>
              </w:rPr>
            </w:pPr>
            <w:r>
              <w:rPr>
                <w:rFonts w:ascii="宋体" w:hAnsi="Times New Roman" w:eastAsia="宋体"/>
                <w:b/>
                <w:kern w:val="0"/>
                <w:sz w:val="24"/>
                <w:szCs w:val="24"/>
              </w:rPr>
              <w:t>法定代表人（授权代表）：</w:t>
            </w:r>
          </w:p>
          <w:p w14:paraId="762FF0FD">
            <w:pPr>
              <w:spacing w:line="360" w:lineRule="auto"/>
              <w:rPr>
                <w:rFonts w:ascii="Times New Roman" w:hAnsi="Times New Roman" w:eastAsia="宋体"/>
                <w:kern w:val="0"/>
                <w:sz w:val="24"/>
                <w:szCs w:val="24"/>
              </w:rPr>
            </w:pPr>
          </w:p>
        </w:tc>
        <w:tc>
          <w:tcPr>
            <w:tcW w:w="241" w:type="dxa"/>
            <w:tcBorders>
              <w:top w:val="nil"/>
              <w:left w:val="nil"/>
              <w:bottom w:val="nil"/>
              <w:right w:val="nil"/>
              <w:tl2br w:val="nil"/>
              <w:tr2bl w:val="nil"/>
            </w:tcBorders>
            <w:vAlign w:val="center"/>
          </w:tcPr>
          <w:p w14:paraId="2878C828">
            <w:pPr>
              <w:wordWrap w:val="0"/>
              <w:topLinePunct/>
              <w:spacing w:line="360" w:lineRule="auto"/>
              <w:textAlignment w:val="center"/>
              <w:rPr>
                <w:rFonts w:ascii="Times New Roman" w:hAnsi="Times New Roman" w:eastAsia="宋体"/>
                <w:kern w:val="0"/>
                <w:sz w:val="24"/>
                <w:szCs w:val="24"/>
              </w:rPr>
            </w:pPr>
          </w:p>
        </w:tc>
        <w:tc>
          <w:tcPr>
            <w:tcW w:w="4012" w:type="dxa"/>
            <w:tcBorders>
              <w:top w:val="nil"/>
              <w:left w:val="nil"/>
              <w:bottom w:val="nil"/>
              <w:right w:val="nil"/>
              <w:tl2br w:val="nil"/>
              <w:tr2bl w:val="nil"/>
            </w:tcBorders>
            <w:vAlign w:val="center"/>
          </w:tcPr>
          <w:p w14:paraId="2B9B3AA6">
            <w:pPr>
              <w:spacing w:line="360" w:lineRule="auto"/>
              <w:rPr>
                <w:rFonts w:ascii="Times New Roman" w:hAnsi="Times New Roman" w:eastAsia="宋体"/>
                <w:b/>
                <w:kern w:val="0"/>
                <w:sz w:val="24"/>
                <w:szCs w:val="24"/>
              </w:rPr>
            </w:pPr>
            <w:r>
              <w:rPr>
                <w:rFonts w:ascii="宋体" w:hAnsi="Times New Roman" w:eastAsia="宋体"/>
                <w:b/>
                <w:kern w:val="0"/>
                <w:sz w:val="24"/>
                <w:szCs w:val="24"/>
              </w:rPr>
              <w:t>法定代表人（授权代表）：</w:t>
            </w:r>
          </w:p>
        </w:tc>
        <w:tc>
          <w:tcPr>
            <w:tcW w:w="237" w:type="dxa"/>
            <w:tcBorders>
              <w:top w:val="nil"/>
              <w:left w:val="nil"/>
              <w:bottom w:val="nil"/>
              <w:right w:val="nil"/>
              <w:tl2br w:val="nil"/>
              <w:tr2bl w:val="nil"/>
            </w:tcBorders>
            <w:vAlign w:val="center"/>
          </w:tcPr>
          <w:p w14:paraId="30A2226B">
            <w:pPr>
              <w:wordWrap w:val="0"/>
              <w:topLinePunct/>
              <w:spacing w:line="360" w:lineRule="auto"/>
              <w:textAlignment w:val="center"/>
              <w:rPr>
                <w:rFonts w:ascii="Times New Roman" w:hAnsi="Times New Roman" w:eastAsia="宋体"/>
                <w:kern w:val="0"/>
                <w:sz w:val="24"/>
                <w:szCs w:val="24"/>
              </w:rPr>
            </w:pPr>
          </w:p>
        </w:tc>
      </w:tr>
      <w:tr w14:paraId="1BFFF062">
        <w:tblPrEx>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vAlign w:val="center"/>
          </w:tcPr>
          <w:p w14:paraId="3BC43C75">
            <w:pPr>
              <w:spacing w:line="360" w:lineRule="auto"/>
              <w:rPr>
                <w:rFonts w:ascii="Times New Roman" w:hAnsi="Times New Roman" w:eastAsia="宋体"/>
                <w:b/>
                <w:kern w:val="0"/>
                <w:sz w:val="24"/>
                <w:szCs w:val="24"/>
              </w:rPr>
            </w:pPr>
            <w:r>
              <w:rPr>
                <w:rFonts w:ascii="宋体" w:hAnsi="Times New Roman" w:eastAsia="宋体"/>
                <w:b/>
                <w:kern w:val="0"/>
                <w:sz w:val="24"/>
                <w:szCs w:val="24"/>
              </w:rPr>
              <w:t>地址：泸定县磨西镇冰川路</w:t>
            </w:r>
          </w:p>
          <w:p w14:paraId="13BD6376">
            <w:pPr>
              <w:spacing w:line="360" w:lineRule="auto"/>
              <w:rPr>
                <w:rFonts w:ascii="Times New Roman" w:hAnsi="Times New Roman" w:eastAsia="宋体"/>
                <w:kern w:val="0"/>
                <w:sz w:val="24"/>
                <w:szCs w:val="24"/>
              </w:rPr>
            </w:pPr>
          </w:p>
        </w:tc>
        <w:tc>
          <w:tcPr>
            <w:tcW w:w="241" w:type="dxa"/>
            <w:tcBorders>
              <w:top w:val="nil"/>
              <w:left w:val="nil"/>
              <w:bottom w:val="nil"/>
              <w:right w:val="nil"/>
              <w:tl2br w:val="nil"/>
              <w:tr2bl w:val="nil"/>
            </w:tcBorders>
            <w:vAlign w:val="center"/>
          </w:tcPr>
          <w:p w14:paraId="75D89BE2">
            <w:pPr>
              <w:wordWrap w:val="0"/>
              <w:topLinePunct/>
              <w:spacing w:line="360" w:lineRule="auto"/>
              <w:textAlignment w:val="center"/>
              <w:rPr>
                <w:rFonts w:ascii="Times New Roman" w:hAnsi="Times New Roman" w:eastAsia="宋体"/>
                <w:kern w:val="0"/>
                <w:sz w:val="24"/>
                <w:szCs w:val="24"/>
              </w:rPr>
            </w:pPr>
          </w:p>
        </w:tc>
        <w:tc>
          <w:tcPr>
            <w:tcW w:w="4012" w:type="dxa"/>
            <w:tcBorders>
              <w:top w:val="nil"/>
              <w:left w:val="nil"/>
              <w:bottom w:val="nil"/>
              <w:right w:val="nil"/>
              <w:tl2br w:val="nil"/>
              <w:tr2bl w:val="nil"/>
            </w:tcBorders>
            <w:vAlign w:val="center"/>
          </w:tcPr>
          <w:p w14:paraId="5C4B8F1E">
            <w:pPr>
              <w:spacing w:line="360" w:lineRule="auto"/>
              <w:rPr>
                <w:rFonts w:ascii="Times New Roman" w:hAnsi="Times New Roman" w:eastAsia="宋体"/>
                <w:kern w:val="0"/>
                <w:sz w:val="24"/>
                <w:szCs w:val="24"/>
              </w:rPr>
            </w:pPr>
            <w:r>
              <w:rPr>
                <w:rFonts w:ascii="宋体" w:hAnsi="Times New Roman" w:eastAsia="宋体"/>
                <w:b/>
                <w:kern w:val="0"/>
                <w:sz w:val="24"/>
                <w:szCs w:val="24"/>
              </w:rPr>
              <w:t>地址：</w:t>
            </w:r>
          </w:p>
        </w:tc>
        <w:tc>
          <w:tcPr>
            <w:tcW w:w="237" w:type="dxa"/>
            <w:tcBorders>
              <w:top w:val="nil"/>
              <w:left w:val="nil"/>
              <w:bottom w:val="nil"/>
              <w:right w:val="nil"/>
              <w:tl2br w:val="nil"/>
              <w:tr2bl w:val="nil"/>
            </w:tcBorders>
            <w:vAlign w:val="center"/>
          </w:tcPr>
          <w:p w14:paraId="60077E86">
            <w:pPr>
              <w:wordWrap w:val="0"/>
              <w:topLinePunct/>
              <w:spacing w:line="360" w:lineRule="auto"/>
              <w:textAlignment w:val="center"/>
              <w:rPr>
                <w:rFonts w:ascii="Times New Roman" w:hAnsi="Times New Roman" w:eastAsia="宋体"/>
                <w:kern w:val="0"/>
                <w:sz w:val="24"/>
                <w:szCs w:val="24"/>
              </w:rPr>
            </w:pPr>
          </w:p>
        </w:tc>
      </w:tr>
      <w:tr w14:paraId="370009C6">
        <w:tblPrEx>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vAlign w:val="center"/>
          </w:tcPr>
          <w:p w14:paraId="74A6AE87">
            <w:pPr>
              <w:spacing w:line="360" w:lineRule="auto"/>
              <w:rPr>
                <w:rFonts w:ascii="Times New Roman" w:hAnsi="Times New Roman" w:eastAsia="宋体"/>
                <w:kern w:val="0"/>
                <w:sz w:val="24"/>
                <w:szCs w:val="24"/>
              </w:rPr>
            </w:pPr>
            <w:r>
              <w:rPr>
                <w:rFonts w:ascii="宋体" w:hAnsi="Times New Roman" w:eastAsia="宋体"/>
                <w:b/>
                <w:kern w:val="0"/>
                <w:sz w:val="24"/>
                <w:szCs w:val="24"/>
              </w:rPr>
              <w:t>开户银行：中国农业银行股份有限公司泸定磨西支行</w:t>
            </w:r>
          </w:p>
        </w:tc>
        <w:tc>
          <w:tcPr>
            <w:tcW w:w="241" w:type="dxa"/>
            <w:tcBorders>
              <w:top w:val="nil"/>
              <w:left w:val="nil"/>
              <w:bottom w:val="nil"/>
              <w:right w:val="nil"/>
              <w:tl2br w:val="nil"/>
              <w:tr2bl w:val="nil"/>
            </w:tcBorders>
            <w:vAlign w:val="center"/>
          </w:tcPr>
          <w:p w14:paraId="106DAD8D">
            <w:pPr>
              <w:wordWrap w:val="0"/>
              <w:topLinePunct/>
              <w:spacing w:line="360" w:lineRule="auto"/>
              <w:textAlignment w:val="center"/>
              <w:rPr>
                <w:rFonts w:ascii="Times New Roman" w:hAnsi="Times New Roman" w:eastAsia="宋体"/>
                <w:kern w:val="0"/>
                <w:sz w:val="24"/>
                <w:szCs w:val="24"/>
              </w:rPr>
            </w:pPr>
          </w:p>
        </w:tc>
        <w:tc>
          <w:tcPr>
            <w:tcW w:w="4012" w:type="dxa"/>
            <w:tcBorders>
              <w:top w:val="nil"/>
              <w:left w:val="nil"/>
              <w:bottom w:val="nil"/>
              <w:right w:val="nil"/>
              <w:tl2br w:val="nil"/>
              <w:tr2bl w:val="nil"/>
            </w:tcBorders>
            <w:vAlign w:val="center"/>
          </w:tcPr>
          <w:p w14:paraId="2D0E80B3">
            <w:pPr>
              <w:spacing w:line="360" w:lineRule="auto"/>
              <w:rPr>
                <w:rFonts w:ascii="Times New Roman" w:hAnsi="Times New Roman" w:eastAsia="宋体"/>
                <w:kern w:val="0"/>
                <w:sz w:val="24"/>
                <w:szCs w:val="24"/>
              </w:rPr>
            </w:pPr>
            <w:r>
              <w:rPr>
                <w:rFonts w:ascii="宋体" w:hAnsi="Times New Roman" w:eastAsia="宋体"/>
                <w:b/>
                <w:kern w:val="0"/>
                <w:sz w:val="24"/>
                <w:szCs w:val="24"/>
              </w:rPr>
              <w:t>开户银行：</w:t>
            </w:r>
          </w:p>
        </w:tc>
        <w:tc>
          <w:tcPr>
            <w:tcW w:w="237" w:type="dxa"/>
            <w:tcBorders>
              <w:top w:val="nil"/>
              <w:left w:val="nil"/>
              <w:bottom w:val="nil"/>
              <w:right w:val="nil"/>
              <w:tl2br w:val="nil"/>
              <w:tr2bl w:val="nil"/>
            </w:tcBorders>
            <w:vAlign w:val="center"/>
          </w:tcPr>
          <w:p w14:paraId="593973D8">
            <w:pPr>
              <w:wordWrap w:val="0"/>
              <w:topLinePunct/>
              <w:spacing w:line="360" w:lineRule="auto"/>
              <w:textAlignment w:val="center"/>
              <w:rPr>
                <w:rFonts w:ascii="Times New Roman" w:hAnsi="Times New Roman" w:eastAsia="宋体"/>
                <w:kern w:val="0"/>
                <w:sz w:val="24"/>
                <w:szCs w:val="24"/>
              </w:rPr>
            </w:pPr>
          </w:p>
        </w:tc>
      </w:tr>
      <w:tr w14:paraId="131CA3BA">
        <w:tblPrEx>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vAlign w:val="center"/>
          </w:tcPr>
          <w:p w14:paraId="41C605EB">
            <w:pPr>
              <w:spacing w:line="360" w:lineRule="auto"/>
              <w:rPr>
                <w:rFonts w:ascii="Times New Roman" w:hAnsi="Times New Roman" w:eastAsia="宋体"/>
                <w:kern w:val="0"/>
                <w:sz w:val="24"/>
                <w:szCs w:val="24"/>
              </w:rPr>
            </w:pPr>
            <w:r>
              <w:rPr>
                <w:rFonts w:ascii="宋体" w:hAnsi="Times New Roman" w:eastAsia="宋体"/>
                <w:b/>
                <w:kern w:val="0"/>
                <w:sz w:val="24"/>
                <w:szCs w:val="24"/>
              </w:rPr>
              <w:t>账号：22-574201040002644</w:t>
            </w:r>
          </w:p>
        </w:tc>
        <w:tc>
          <w:tcPr>
            <w:tcW w:w="241" w:type="dxa"/>
            <w:tcBorders>
              <w:top w:val="nil"/>
              <w:left w:val="nil"/>
              <w:bottom w:val="nil"/>
              <w:right w:val="nil"/>
              <w:tl2br w:val="nil"/>
              <w:tr2bl w:val="nil"/>
            </w:tcBorders>
            <w:vAlign w:val="center"/>
          </w:tcPr>
          <w:p w14:paraId="750C19C2">
            <w:pPr>
              <w:wordWrap w:val="0"/>
              <w:topLinePunct/>
              <w:spacing w:line="360" w:lineRule="auto"/>
              <w:textAlignment w:val="center"/>
              <w:rPr>
                <w:rFonts w:ascii="Times New Roman" w:hAnsi="Times New Roman" w:eastAsia="宋体"/>
                <w:kern w:val="0"/>
                <w:sz w:val="24"/>
                <w:szCs w:val="24"/>
              </w:rPr>
            </w:pPr>
          </w:p>
        </w:tc>
        <w:tc>
          <w:tcPr>
            <w:tcW w:w="4012" w:type="dxa"/>
            <w:tcBorders>
              <w:top w:val="nil"/>
              <w:left w:val="nil"/>
              <w:bottom w:val="nil"/>
              <w:right w:val="nil"/>
              <w:tl2br w:val="nil"/>
              <w:tr2bl w:val="nil"/>
            </w:tcBorders>
            <w:vAlign w:val="center"/>
          </w:tcPr>
          <w:p w14:paraId="7C54132F">
            <w:pPr>
              <w:spacing w:line="360" w:lineRule="auto"/>
              <w:rPr>
                <w:rFonts w:ascii="Times New Roman" w:hAnsi="Times New Roman" w:eastAsia="宋体"/>
                <w:kern w:val="0"/>
                <w:sz w:val="24"/>
                <w:szCs w:val="24"/>
              </w:rPr>
            </w:pPr>
            <w:r>
              <w:rPr>
                <w:rFonts w:ascii="宋体" w:hAnsi="Times New Roman" w:eastAsia="宋体"/>
                <w:b/>
                <w:kern w:val="0"/>
                <w:sz w:val="24"/>
                <w:szCs w:val="24"/>
              </w:rPr>
              <w:t>账号：</w:t>
            </w:r>
          </w:p>
          <w:p w14:paraId="21552642">
            <w:pPr>
              <w:spacing w:line="360" w:lineRule="auto"/>
              <w:rPr>
                <w:rFonts w:ascii="Times New Roman" w:hAnsi="Times New Roman" w:eastAsia="宋体"/>
                <w:kern w:val="0"/>
                <w:sz w:val="24"/>
                <w:szCs w:val="24"/>
              </w:rPr>
            </w:pPr>
          </w:p>
        </w:tc>
        <w:tc>
          <w:tcPr>
            <w:tcW w:w="237" w:type="dxa"/>
            <w:tcBorders>
              <w:top w:val="nil"/>
              <w:left w:val="nil"/>
              <w:bottom w:val="nil"/>
              <w:right w:val="nil"/>
              <w:tl2br w:val="nil"/>
              <w:tr2bl w:val="nil"/>
            </w:tcBorders>
            <w:vAlign w:val="center"/>
          </w:tcPr>
          <w:p w14:paraId="7A45CC7C">
            <w:pPr>
              <w:wordWrap w:val="0"/>
              <w:topLinePunct/>
              <w:spacing w:line="360" w:lineRule="auto"/>
              <w:textAlignment w:val="center"/>
              <w:rPr>
                <w:rFonts w:ascii="Times New Roman" w:hAnsi="Times New Roman" w:eastAsia="宋体"/>
                <w:kern w:val="0"/>
                <w:sz w:val="24"/>
                <w:szCs w:val="24"/>
              </w:rPr>
            </w:pPr>
          </w:p>
        </w:tc>
      </w:tr>
      <w:tr w14:paraId="1A7F7976">
        <w:tblPrEx>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vAlign w:val="center"/>
          </w:tcPr>
          <w:p w14:paraId="668E34E5">
            <w:pPr>
              <w:spacing w:line="360" w:lineRule="auto"/>
              <w:rPr>
                <w:rFonts w:ascii="Times New Roman" w:hAnsi="Times New Roman" w:eastAsia="宋体"/>
                <w:kern w:val="0"/>
                <w:sz w:val="24"/>
                <w:szCs w:val="24"/>
              </w:rPr>
            </w:pPr>
            <w:r>
              <w:rPr>
                <w:rFonts w:ascii="宋体" w:hAnsi="Times New Roman" w:eastAsia="宋体"/>
                <w:b/>
                <w:kern w:val="0"/>
                <w:sz w:val="24"/>
                <w:szCs w:val="24"/>
              </w:rPr>
              <w:t>电话：0836-3269077</w:t>
            </w:r>
          </w:p>
        </w:tc>
        <w:tc>
          <w:tcPr>
            <w:tcW w:w="241" w:type="dxa"/>
            <w:tcBorders>
              <w:top w:val="nil"/>
              <w:left w:val="nil"/>
              <w:bottom w:val="nil"/>
              <w:right w:val="nil"/>
              <w:tl2br w:val="nil"/>
              <w:tr2bl w:val="nil"/>
            </w:tcBorders>
            <w:vAlign w:val="center"/>
          </w:tcPr>
          <w:p w14:paraId="4B2CAC06">
            <w:pPr>
              <w:wordWrap w:val="0"/>
              <w:topLinePunct/>
              <w:spacing w:line="360" w:lineRule="auto"/>
              <w:textAlignment w:val="center"/>
              <w:rPr>
                <w:rFonts w:ascii="Times New Roman" w:hAnsi="Times New Roman" w:eastAsia="宋体"/>
                <w:kern w:val="0"/>
                <w:sz w:val="24"/>
                <w:szCs w:val="24"/>
              </w:rPr>
            </w:pPr>
          </w:p>
        </w:tc>
        <w:tc>
          <w:tcPr>
            <w:tcW w:w="4012" w:type="dxa"/>
            <w:tcBorders>
              <w:top w:val="nil"/>
              <w:left w:val="nil"/>
              <w:bottom w:val="nil"/>
              <w:right w:val="nil"/>
              <w:tl2br w:val="nil"/>
              <w:tr2bl w:val="nil"/>
            </w:tcBorders>
            <w:vAlign w:val="center"/>
          </w:tcPr>
          <w:p w14:paraId="66252749">
            <w:pPr>
              <w:spacing w:line="360" w:lineRule="auto"/>
              <w:rPr>
                <w:rFonts w:ascii="Times New Roman" w:hAnsi="Times New Roman" w:eastAsia="宋体"/>
                <w:b/>
                <w:kern w:val="0"/>
                <w:sz w:val="24"/>
                <w:szCs w:val="24"/>
              </w:rPr>
            </w:pPr>
            <w:r>
              <w:rPr>
                <w:rFonts w:ascii="宋体" w:hAnsi="Times New Roman" w:eastAsia="宋体"/>
                <w:b/>
                <w:kern w:val="0"/>
                <w:sz w:val="24"/>
                <w:szCs w:val="24"/>
              </w:rPr>
              <w:t>电话：</w:t>
            </w:r>
          </w:p>
          <w:p w14:paraId="19E2C29B">
            <w:pPr>
              <w:spacing w:line="360" w:lineRule="auto"/>
              <w:rPr>
                <w:rFonts w:ascii="Times New Roman" w:hAnsi="Times New Roman" w:eastAsia="宋体"/>
                <w:kern w:val="0"/>
                <w:sz w:val="24"/>
                <w:szCs w:val="24"/>
              </w:rPr>
            </w:pPr>
          </w:p>
        </w:tc>
        <w:tc>
          <w:tcPr>
            <w:tcW w:w="237" w:type="dxa"/>
            <w:tcBorders>
              <w:top w:val="nil"/>
              <w:left w:val="nil"/>
              <w:bottom w:val="nil"/>
              <w:right w:val="nil"/>
              <w:tl2br w:val="nil"/>
              <w:tr2bl w:val="nil"/>
            </w:tcBorders>
            <w:vAlign w:val="center"/>
          </w:tcPr>
          <w:p w14:paraId="449D7D86">
            <w:pPr>
              <w:wordWrap w:val="0"/>
              <w:topLinePunct/>
              <w:spacing w:line="360" w:lineRule="auto"/>
              <w:textAlignment w:val="center"/>
              <w:rPr>
                <w:rFonts w:ascii="Times New Roman" w:hAnsi="Times New Roman" w:eastAsia="宋体"/>
                <w:kern w:val="0"/>
                <w:sz w:val="24"/>
                <w:szCs w:val="24"/>
              </w:rPr>
            </w:pPr>
          </w:p>
        </w:tc>
      </w:tr>
      <w:tr w14:paraId="3A69D56E">
        <w:tblPrEx>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vAlign w:val="center"/>
          </w:tcPr>
          <w:p w14:paraId="1D4CA390">
            <w:pPr>
              <w:spacing w:line="360" w:lineRule="auto"/>
              <w:rPr>
                <w:rFonts w:ascii="Times New Roman" w:hAnsi="Times New Roman" w:eastAsia="宋体"/>
                <w:b/>
                <w:kern w:val="0"/>
                <w:sz w:val="24"/>
                <w:szCs w:val="24"/>
              </w:rPr>
            </w:pPr>
            <w:r>
              <w:rPr>
                <w:rFonts w:ascii="宋体" w:hAnsi="Times New Roman" w:eastAsia="宋体"/>
                <w:b/>
                <w:kern w:val="0"/>
                <w:sz w:val="24"/>
                <w:szCs w:val="24"/>
              </w:rPr>
              <w:t>邮箱：</w:t>
            </w:r>
          </w:p>
          <w:p w14:paraId="5300F6F0">
            <w:pPr>
              <w:spacing w:line="360" w:lineRule="auto"/>
              <w:rPr>
                <w:rFonts w:ascii="Times New Roman" w:hAnsi="Times New Roman" w:eastAsia="宋体"/>
                <w:kern w:val="0"/>
                <w:sz w:val="24"/>
                <w:szCs w:val="24"/>
              </w:rPr>
            </w:pPr>
          </w:p>
        </w:tc>
        <w:tc>
          <w:tcPr>
            <w:tcW w:w="241" w:type="dxa"/>
            <w:tcBorders>
              <w:top w:val="nil"/>
              <w:left w:val="nil"/>
              <w:bottom w:val="nil"/>
              <w:right w:val="nil"/>
              <w:tl2br w:val="nil"/>
              <w:tr2bl w:val="nil"/>
            </w:tcBorders>
            <w:vAlign w:val="center"/>
          </w:tcPr>
          <w:p w14:paraId="47BB9860">
            <w:pPr>
              <w:wordWrap w:val="0"/>
              <w:topLinePunct/>
              <w:spacing w:line="360" w:lineRule="auto"/>
              <w:textAlignment w:val="center"/>
              <w:rPr>
                <w:rFonts w:ascii="Times New Roman" w:hAnsi="Times New Roman" w:eastAsia="宋体"/>
                <w:kern w:val="0"/>
                <w:sz w:val="24"/>
                <w:szCs w:val="24"/>
              </w:rPr>
            </w:pPr>
          </w:p>
        </w:tc>
        <w:tc>
          <w:tcPr>
            <w:tcW w:w="4012" w:type="dxa"/>
            <w:tcBorders>
              <w:top w:val="nil"/>
              <w:left w:val="nil"/>
              <w:bottom w:val="nil"/>
              <w:right w:val="nil"/>
              <w:tl2br w:val="nil"/>
              <w:tr2bl w:val="nil"/>
            </w:tcBorders>
            <w:vAlign w:val="center"/>
          </w:tcPr>
          <w:p w14:paraId="4EC5B98C">
            <w:pPr>
              <w:spacing w:line="360" w:lineRule="auto"/>
              <w:rPr>
                <w:rFonts w:ascii="Times New Roman" w:hAnsi="Times New Roman" w:eastAsia="宋体"/>
                <w:b/>
                <w:kern w:val="0"/>
                <w:sz w:val="24"/>
                <w:szCs w:val="24"/>
              </w:rPr>
            </w:pPr>
            <w:r>
              <w:rPr>
                <w:rFonts w:ascii="宋体" w:hAnsi="Times New Roman" w:eastAsia="宋体"/>
                <w:b/>
                <w:kern w:val="0"/>
                <w:sz w:val="24"/>
                <w:szCs w:val="24"/>
              </w:rPr>
              <w:t>邮箱：</w:t>
            </w:r>
          </w:p>
          <w:p w14:paraId="6FC68A00">
            <w:pPr>
              <w:spacing w:line="360" w:lineRule="auto"/>
              <w:rPr>
                <w:rFonts w:ascii="Times New Roman" w:hAnsi="Times New Roman" w:eastAsia="宋体"/>
                <w:kern w:val="0"/>
                <w:sz w:val="24"/>
                <w:szCs w:val="24"/>
              </w:rPr>
            </w:pPr>
          </w:p>
        </w:tc>
        <w:tc>
          <w:tcPr>
            <w:tcW w:w="237" w:type="dxa"/>
            <w:tcBorders>
              <w:top w:val="nil"/>
              <w:left w:val="nil"/>
              <w:bottom w:val="nil"/>
              <w:right w:val="nil"/>
              <w:tl2br w:val="nil"/>
              <w:tr2bl w:val="nil"/>
            </w:tcBorders>
            <w:vAlign w:val="center"/>
          </w:tcPr>
          <w:p w14:paraId="053EE017">
            <w:pPr>
              <w:wordWrap w:val="0"/>
              <w:topLinePunct/>
              <w:spacing w:line="360" w:lineRule="auto"/>
              <w:textAlignment w:val="center"/>
              <w:rPr>
                <w:rFonts w:ascii="Times New Roman" w:hAnsi="Times New Roman" w:eastAsia="宋体"/>
                <w:kern w:val="0"/>
                <w:sz w:val="24"/>
                <w:szCs w:val="24"/>
              </w:rPr>
            </w:pPr>
          </w:p>
        </w:tc>
      </w:tr>
      <w:tr w14:paraId="6978A72B">
        <w:tblPrEx>
          <w:tblCellMar>
            <w:top w:w="0" w:type="dxa"/>
            <w:left w:w="28" w:type="dxa"/>
            <w:bottom w:w="0" w:type="dxa"/>
            <w:right w:w="28" w:type="dxa"/>
          </w:tblCellMar>
        </w:tblPrEx>
        <w:trPr>
          <w:jc w:val="center"/>
        </w:trPr>
        <w:tc>
          <w:tcPr>
            <w:tcW w:w="3816" w:type="dxa"/>
            <w:tcBorders>
              <w:top w:val="nil"/>
              <w:left w:val="nil"/>
              <w:bottom w:val="nil"/>
              <w:right w:val="nil"/>
              <w:tl2br w:val="nil"/>
              <w:tr2bl w:val="nil"/>
            </w:tcBorders>
            <w:vAlign w:val="center"/>
          </w:tcPr>
          <w:p w14:paraId="466F29A7">
            <w:pPr>
              <w:spacing w:line="360" w:lineRule="auto"/>
              <w:rPr>
                <w:rFonts w:ascii="Times New Roman" w:hAnsi="Times New Roman" w:eastAsia="宋体"/>
                <w:kern w:val="0"/>
                <w:sz w:val="24"/>
                <w:szCs w:val="24"/>
              </w:rPr>
            </w:pPr>
            <w:r>
              <w:rPr>
                <w:rFonts w:ascii="宋体" w:hAnsi="Times New Roman" w:eastAsia="宋体"/>
                <w:kern w:val="0"/>
                <w:sz w:val="24"/>
                <w:szCs w:val="24"/>
              </w:rPr>
              <w:t>签约日期：      年   月   日</w:t>
            </w:r>
          </w:p>
        </w:tc>
        <w:tc>
          <w:tcPr>
            <w:tcW w:w="241" w:type="dxa"/>
            <w:tcBorders>
              <w:top w:val="nil"/>
              <w:left w:val="nil"/>
              <w:bottom w:val="nil"/>
              <w:right w:val="nil"/>
              <w:tl2br w:val="nil"/>
              <w:tr2bl w:val="nil"/>
            </w:tcBorders>
            <w:vAlign w:val="center"/>
          </w:tcPr>
          <w:p w14:paraId="2F671ED0">
            <w:pPr>
              <w:wordWrap w:val="0"/>
              <w:topLinePunct/>
              <w:spacing w:line="360" w:lineRule="auto"/>
              <w:textAlignment w:val="center"/>
              <w:rPr>
                <w:rFonts w:ascii="Times New Roman" w:hAnsi="Times New Roman" w:eastAsia="宋体"/>
                <w:kern w:val="0"/>
                <w:sz w:val="24"/>
                <w:szCs w:val="24"/>
              </w:rPr>
            </w:pPr>
          </w:p>
        </w:tc>
        <w:tc>
          <w:tcPr>
            <w:tcW w:w="4012" w:type="dxa"/>
            <w:tcBorders>
              <w:top w:val="nil"/>
              <w:left w:val="nil"/>
              <w:bottom w:val="nil"/>
              <w:right w:val="nil"/>
              <w:tl2br w:val="nil"/>
              <w:tr2bl w:val="nil"/>
            </w:tcBorders>
            <w:vAlign w:val="center"/>
          </w:tcPr>
          <w:p w14:paraId="31476CC4">
            <w:pPr>
              <w:spacing w:line="360" w:lineRule="auto"/>
              <w:rPr>
                <w:rFonts w:ascii="Times New Roman" w:hAnsi="Times New Roman" w:eastAsia="宋体"/>
                <w:kern w:val="0"/>
                <w:sz w:val="24"/>
                <w:szCs w:val="24"/>
              </w:rPr>
            </w:pPr>
            <w:r>
              <w:rPr>
                <w:rFonts w:ascii="宋体" w:hAnsi="Times New Roman" w:eastAsia="宋体"/>
                <w:kern w:val="0"/>
                <w:sz w:val="24"/>
                <w:szCs w:val="24"/>
              </w:rPr>
              <w:t>签约日期：      年   月   日</w:t>
            </w:r>
          </w:p>
        </w:tc>
        <w:tc>
          <w:tcPr>
            <w:tcW w:w="237" w:type="dxa"/>
            <w:tcBorders>
              <w:top w:val="nil"/>
              <w:left w:val="nil"/>
              <w:bottom w:val="nil"/>
              <w:right w:val="nil"/>
              <w:tl2br w:val="nil"/>
              <w:tr2bl w:val="nil"/>
            </w:tcBorders>
            <w:vAlign w:val="center"/>
          </w:tcPr>
          <w:p w14:paraId="75BA2DCE">
            <w:pPr>
              <w:wordWrap w:val="0"/>
              <w:topLinePunct/>
              <w:spacing w:line="360" w:lineRule="auto"/>
              <w:textAlignment w:val="center"/>
              <w:rPr>
                <w:rFonts w:ascii="Times New Roman" w:hAnsi="Times New Roman" w:eastAsia="宋体"/>
                <w:kern w:val="0"/>
                <w:sz w:val="24"/>
                <w:szCs w:val="24"/>
              </w:rPr>
            </w:pPr>
          </w:p>
        </w:tc>
      </w:tr>
    </w:tbl>
    <w:p w14:paraId="700E6C66">
      <w:pPr>
        <w:rPr>
          <w:rFonts w:ascii="仿宋" w:hAnsi="仿宋" w:eastAsia="仿宋"/>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 w:name="KSOF025BBAAE">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7951983"/>
    </w:sdtPr>
    <w:sdtContent>
      <w:sdt>
        <w:sdtPr>
          <w:id w:val="1728636285"/>
        </w:sdtPr>
        <w:sdtContent>
          <w:p w14:paraId="5B742761">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1D755902">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suff w:val="nothing"/>
      <w:lvlText w:val="%1."/>
      <w:lvlJc w:val="left"/>
      <w:pPr>
        <w:ind w:left="1560" w:hanging="720"/>
      </w:pPr>
      <w:rPr>
        <w:rFonts w:hint="default"/>
        <w:sz w:val="28"/>
        <w:u w:val="none"/>
      </w:rPr>
    </w:lvl>
    <w:lvl w:ilvl="1" w:tentative="0">
      <w:start w:val="1"/>
      <w:numFmt w:val="lowerLetter"/>
      <w:lvlText w:val="%2)"/>
      <w:lvlJc w:val="left"/>
      <w:pPr>
        <w:ind w:left="1470" w:hanging="420"/>
      </w:pPr>
      <w:rPr>
        <w:rFonts w:hint="default"/>
        <w:u w:val="none"/>
      </w:rPr>
    </w:lvl>
    <w:lvl w:ilvl="2" w:tentative="0">
      <w:start w:val="1"/>
      <w:numFmt w:val="lowerRoman"/>
      <w:lvlText w:val="%3."/>
      <w:lvlJc w:val="right"/>
      <w:pPr>
        <w:ind w:left="1890" w:hanging="420"/>
      </w:pPr>
      <w:rPr>
        <w:rFonts w:hint="default"/>
        <w:u w:val="none"/>
      </w:rPr>
    </w:lvl>
    <w:lvl w:ilvl="3" w:tentative="0">
      <w:start w:val="1"/>
      <w:numFmt w:val="decimal"/>
      <w:lvlText w:val="%4."/>
      <w:lvlJc w:val="left"/>
      <w:pPr>
        <w:ind w:left="2310" w:hanging="420"/>
      </w:pPr>
      <w:rPr>
        <w:rFonts w:hint="default"/>
        <w:u w:val="none"/>
      </w:rPr>
    </w:lvl>
    <w:lvl w:ilvl="4" w:tentative="0">
      <w:start w:val="1"/>
      <w:numFmt w:val="lowerLetter"/>
      <w:lvlText w:val="%5)"/>
      <w:lvlJc w:val="left"/>
      <w:pPr>
        <w:ind w:left="2730" w:hanging="420"/>
      </w:pPr>
      <w:rPr>
        <w:rFonts w:hint="default"/>
        <w:u w:val="none"/>
      </w:rPr>
    </w:lvl>
    <w:lvl w:ilvl="5" w:tentative="0">
      <w:start w:val="1"/>
      <w:numFmt w:val="lowerRoman"/>
      <w:lvlText w:val="%6."/>
      <w:lvlJc w:val="right"/>
      <w:pPr>
        <w:ind w:left="3150" w:hanging="420"/>
      </w:pPr>
      <w:rPr>
        <w:rFonts w:hint="default"/>
        <w:u w:val="none"/>
      </w:rPr>
    </w:lvl>
    <w:lvl w:ilvl="6" w:tentative="0">
      <w:start w:val="1"/>
      <w:numFmt w:val="decimal"/>
      <w:lvlText w:val="%7."/>
      <w:lvlJc w:val="left"/>
      <w:pPr>
        <w:ind w:left="3570" w:hanging="420"/>
      </w:pPr>
      <w:rPr>
        <w:rFonts w:hint="default"/>
        <w:u w:val="none"/>
      </w:rPr>
    </w:lvl>
    <w:lvl w:ilvl="7" w:tentative="0">
      <w:start w:val="1"/>
      <w:numFmt w:val="lowerLetter"/>
      <w:lvlText w:val="%8)"/>
      <w:lvlJc w:val="left"/>
      <w:pPr>
        <w:ind w:left="3990" w:hanging="420"/>
      </w:pPr>
      <w:rPr>
        <w:rFonts w:hint="default"/>
        <w:u w:val="none"/>
      </w:rPr>
    </w:lvl>
    <w:lvl w:ilvl="8" w:tentative="0">
      <w:start w:val="1"/>
      <w:numFmt w:val="lowerRoman"/>
      <w:lvlText w:val="%9."/>
      <w:lvlJc w:val="right"/>
      <w:pPr>
        <w:ind w:left="4410" w:hanging="420"/>
      </w:pPr>
      <w:rPr>
        <w:rFonts w:hint="default"/>
        <w:u w:val="none"/>
      </w:rPr>
    </w:lvl>
  </w:abstractNum>
  <w:abstractNum w:abstractNumId="1">
    <w:nsid w:val="59ADCABA"/>
    <w:multiLevelType w:val="multilevel"/>
    <w:tmpl w:val="59ADCABA"/>
    <w:lvl w:ilvl="0" w:tentative="0">
      <w:start w:val="1"/>
      <w:numFmt w:val="decimal"/>
      <w:suff w:val="nothing"/>
      <w:lvlText w:val="%1."/>
      <w:lvlJc w:val="left"/>
      <w:pPr>
        <w:ind w:left="846" w:hanging="420"/>
      </w:pPr>
      <w:rPr>
        <w:rFonts w:hint="default"/>
        <w:u w:val="none"/>
      </w:rPr>
    </w:lvl>
    <w:lvl w:ilvl="1" w:tentative="0">
      <w:start w:val="1"/>
      <w:numFmt w:val="lowerLetter"/>
      <w:lvlText w:val="%2)"/>
      <w:lvlJc w:val="left"/>
      <w:pPr>
        <w:ind w:left="1400" w:hanging="420"/>
      </w:pPr>
      <w:rPr>
        <w:rFonts w:hint="default"/>
        <w:u w:val="none"/>
      </w:rPr>
    </w:lvl>
    <w:lvl w:ilvl="2" w:tentative="0">
      <w:start w:val="1"/>
      <w:numFmt w:val="lowerRoman"/>
      <w:lvlText w:val="%3."/>
      <w:lvlJc w:val="right"/>
      <w:pPr>
        <w:ind w:left="1820" w:hanging="420"/>
      </w:pPr>
      <w:rPr>
        <w:rFonts w:hint="default"/>
        <w:u w:val="none"/>
      </w:rPr>
    </w:lvl>
    <w:lvl w:ilvl="3" w:tentative="0">
      <w:start w:val="1"/>
      <w:numFmt w:val="decimal"/>
      <w:lvlText w:val="%4."/>
      <w:lvlJc w:val="left"/>
      <w:pPr>
        <w:ind w:left="2240" w:hanging="420"/>
      </w:pPr>
      <w:rPr>
        <w:rFonts w:hint="default"/>
        <w:u w:val="none"/>
      </w:rPr>
    </w:lvl>
    <w:lvl w:ilvl="4" w:tentative="0">
      <w:start w:val="1"/>
      <w:numFmt w:val="lowerLetter"/>
      <w:lvlText w:val="%5)"/>
      <w:lvlJc w:val="left"/>
      <w:pPr>
        <w:ind w:left="2660" w:hanging="420"/>
      </w:pPr>
      <w:rPr>
        <w:rFonts w:hint="default"/>
        <w:u w:val="none"/>
      </w:rPr>
    </w:lvl>
    <w:lvl w:ilvl="5" w:tentative="0">
      <w:start w:val="1"/>
      <w:numFmt w:val="lowerRoman"/>
      <w:lvlText w:val="%6."/>
      <w:lvlJc w:val="right"/>
      <w:pPr>
        <w:ind w:left="3080" w:hanging="420"/>
      </w:pPr>
      <w:rPr>
        <w:rFonts w:hint="default"/>
        <w:u w:val="none"/>
      </w:rPr>
    </w:lvl>
    <w:lvl w:ilvl="6" w:tentative="0">
      <w:start w:val="1"/>
      <w:numFmt w:val="decimal"/>
      <w:lvlText w:val="%7."/>
      <w:lvlJc w:val="left"/>
      <w:pPr>
        <w:ind w:left="3500" w:hanging="420"/>
      </w:pPr>
      <w:rPr>
        <w:rFonts w:hint="default"/>
        <w:u w:val="none"/>
      </w:rPr>
    </w:lvl>
    <w:lvl w:ilvl="7" w:tentative="0">
      <w:start w:val="1"/>
      <w:numFmt w:val="lowerLetter"/>
      <w:lvlText w:val="%8)"/>
      <w:lvlJc w:val="left"/>
      <w:pPr>
        <w:ind w:left="3920" w:hanging="420"/>
      </w:pPr>
      <w:rPr>
        <w:rFonts w:hint="default"/>
        <w:u w:val="none"/>
      </w:rPr>
    </w:lvl>
    <w:lvl w:ilvl="8" w:tentative="0">
      <w:start w:val="1"/>
      <w:numFmt w:val="lowerRoman"/>
      <w:lvlText w:val="%9."/>
      <w:lvlJc w:val="right"/>
      <w:pPr>
        <w:ind w:left="4340" w:hanging="420"/>
      </w:pPr>
      <w:rPr>
        <w:rFonts w:hint="default"/>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1YmNiZDY3OGU4NjYxNTBhYjZkMDhmZmZmMGQ0Y2IifQ=="/>
    <w:docVar w:name="KSO_WPS_MARK_KEY" w:val="c058d3b2-1d6a-484e-ac00-e7118827d8f7"/>
  </w:docVars>
  <w:rsids>
    <w:rsidRoot w:val="00172A27"/>
    <w:rsid w:val="000035BB"/>
    <w:rsid w:val="0000658D"/>
    <w:rsid w:val="00017109"/>
    <w:rsid w:val="00025C4E"/>
    <w:rsid w:val="000450A4"/>
    <w:rsid w:val="00060E96"/>
    <w:rsid w:val="000624D8"/>
    <w:rsid w:val="00071E00"/>
    <w:rsid w:val="00077FD5"/>
    <w:rsid w:val="00086421"/>
    <w:rsid w:val="00093C34"/>
    <w:rsid w:val="000C157F"/>
    <w:rsid w:val="000D709D"/>
    <w:rsid w:val="000E162F"/>
    <w:rsid w:val="000F696B"/>
    <w:rsid w:val="001058AF"/>
    <w:rsid w:val="00105F33"/>
    <w:rsid w:val="00110A3A"/>
    <w:rsid w:val="00114830"/>
    <w:rsid w:val="00116124"/>
    <w:rsid w:val="001178EC"/>
    <w:rsid w:val="00140BC5"/>
    <w:rsid w:val="0016786E"/>
    <w:rsid w:val="00172A27"/>
    <w:rsid w:val="0018330D"/>
    <w:rsid w:val="00185B6F"/>
    <w:rsid w:val="00186D9C"/>
    <w:rsid w:val="001911D8"/>
    <w:rsid w:val="002161FB"/>
    <w:rsid w:val="00225F60"/>
    <w:rsid w:val="00252C15"/>
    <w:rsid w:val="002643EC"/>
    <w:rsid w:val="002667B9"/>
    <w:rsid w:val="00290D24"/>
    <w:rsid w:val="002A354A"/>
    <w:rsid w:val="002B1464"/>
    <w:rsid w:val="002B4E58"/>
    <w:rsid w:val="002E3F75"/>
    <w:rsid w:val="002E4A30"/>
    <w:rsid w:val="00305575"/>
    <w:rsid w:val="00313305"/>
    <w:rsid w:val="00314F2F"/>
    <w:rsid w:val="00351254"/>
    <w:rsid w:val="00357F71"/>
    <w:rsid w:val="00360CD1"/>
    <w:rsid w:val="0037213A"/>
    <w:rsid w:val="00373299"/>
    <w:rsid w:val="003746C2"/>
    <w:rsid w:val="00377B6B"/>
    <w:rsid w:val="00393EA5"/>
    <w:rsid w:val="003A050A"/>
    <w:rsid w:val="003B1641"/>
    <w:rsid w:val="003B5D78"/>
    <w:rsid w:val="003B77D6"/>
    <w:rsid w:val="003C05C1"/>
    <w:rsid w:val="003C4B24"/>
    <w:rsid w:val="003D6B56"/>
    <w:rsid w:val="003E2BBF"/>
    <w:rsid w:val="003F78D5"/>
    <w:rsid w:val="00403F12"/>
    <w:rsid w:val="00405E90"/>
    <w:rsid w:val="00407B41"/>
    <w:rsid w:val="00421684"/>
    <w:rsid w:val="00426314"/>
    <w:rsid w:val="00427BC8"/>
    <w:rsid w:val="00431D20"/>
    <w:rsid w:val="004429C5"/>
    <w:rsid w:val="00447BE8"/>
    <w:rsid w:val="00467A29"/>
    <w:rsid w:val="0047069E"/>
    <w:rsid w:val="00470B12"/>
    <w:rsid w:val="00490C57"/>
    <w:rsid w:val="004A01B0"/>
    <w:rsid w:val="004B2BA3"/>
    <w:rsid w:val="004D08B6"/>
    <w:rsid w:val="004E7C34"/>
    <w:rsid w:val="004F525B"/>
    <w:rsid w:val="004F6061"/>
    <w:rsid w:val="005011C5"/>
    <w:rsid w:val="00506EC7"/>
    <w:rsid w:val="0052582C"/>
    <w:rsid w:val="00527C46"/>
    <w:rsid w:val="00535F7E"/>
    <w:rsid w:val="00545755"/>
    <w:rsid w:val="00552E3F"/>
    <w:rsid w:val="00561B40"/>
    <w:rsid w:val="00574947"/>
    <w:rsid w:val="00596DA9"/>
    <w:rsid w:val="005A5066"/>
    <w:rsid w:val="005A7D2B"/>
    <w:rsid w:val="005D1564"/>
    <w:rsid w:val="005D4713"/>
    <w:rsid w:val="005F0127"/>
    <w:rsid w:val="005F0427"/>
    <w:rsid w:val="005F56FB"/>
    <w:rsid w:val="005F7868"/>
    <w:rsid w:val="0061601B"/>
    <w:rsid w:val="00623A3D"/>
    <w:rsid w:val="0062580B"/>
    <w:rsid w:val="006271B6"/>
    <w:rsid w:val="00630D54"/>
    <w:rsid w:val="00642C8C"/>
    <w:rsid w:val="0064435D"/>
    <w:rsid w:val="0065250E"/>
    <w:rsid w:val="0066625D"/>
    <w:rsid w:val="00682CF9"/>
    <w:rsid w:val="006A75D0"/>
    <w:rsid w:val="006B3716"/>
    <w:rsid w:val="006C7FB7"/>
    <w:rsid w:val="006D3CBC"/>
    <w:rsid w:val="006D51ED"/>
    <w:rsid w:val="006E4C95"/>
    <w:rsid w:val="006E5593"/>
    <w:rsid w:val="006E5787"/>
    <w:rsid w:val="006E7C8F"/>
    <w:rsid w:val="00732FA1"/>
    <w:rsid w:val="00743715"/>
    <w:rsid w:val="0074592A"/>
    <w:rsid w:val="00746212"/>
    <w:rsid w:val="00746230"/>
    <w:rsid w:val="00750B8D"/>
    <w:rsid w:val="0075262D"/>
    <w:rsid w:val="00756159"/>
    <w:rsid w:val="007810F4"/>
    <w:rsid w:val="00784EFD"/>
    <w:rsid w:val="00796661"/>
    <w:rsid w:val="007B15F2"/>
    <w:rsid w:val="007B1A3A"/>
    <w:rsid w:val="007B680F"/>
    <w:rsid w:val="007D0CEB"/>
    <w:rsid w:val="007D1714"/>
    <w:rsid w:val="007D5557"/>
    <w:rsid w:val="007E43B9"/>
    <w:rsid w:val="007F629F"/>
    <w:rsid w:val="00817C81"/>
    <w:rsid w:val="00825FA6"/>
    <w:rsid w:val="00844011"/>
    <w:rsid w:val="008537EA"/>
    <w:rsid w:val="0086141F"/>
    <w:rsid w:val="0086185C"/>
    <w:rsid w:val="00861882"/>
    <w:rsid w:val="00875A95"/>
    <w:rsid w:val="00875AB3"/>
    <w:rsid w:val="00877C59"/>
    <w:rsid w:val="00885478"/>
    <w:rsid w:val="00886C2D"/>
    <w:rsid w:val="00890A88"/>
    <w:rsid w:val="00891648"/>
    <w:rsid w:val="008926F4"/>
    <w:rsid w:val="00893B4B"/>
    <w:rsid w:val="008A5BB7"/>
    <w:rsid w:val="008C6C78"/>
    <w:rsid w:val="008E0865"/>
    <w:rsid w:val="008E3A6B"/>
    <w:rsid w:val="008E59A9"/>
    <w:rsid w:val="008F11A8"/>
    <w:rsid w:val="008F199F"/>
    <w:rsid w:val="00906C03"/>
    <w:rsid w:val="009106C9"/>
    <w:rsid w:val="009140C2"/>
    <w:rsid w:val="0092095C"/>
    <w:rsid w:val="009270F3"/>
    <w:rsid w:val="00942CFD"/>
    <w:rsid w:val="009653E1"/>
    <w:rsid w:val="00975021"/>
    <w:rsid w:val="00975F2F"/>
    <w:rsid w:val="00984ADD"/>
    <w:rsid w:val="00992542"/>
    <w:rsid w:val="009B1CD9"/>
    <w:rsid w:val="009C0CCF"/>
    <w:rsid w:val="009C4E81"/>
    <w:rsid w:val="009E2729"/>
    <w:rsid w:val="009F7C12"/>
    <w:rsid w:val="00A03635"/>
    <w:rsid w:val="00A30139"/>
    <w:rsid w:val="00A35E24"/>
    <w:rsid w:val="00A56866"/>
    <w:rsid w:val="00A578AD"/>
    <w:rsid w:val="00A76D11"/>
    <w:rsid w:val="00A81E75"/>
    <w:rsid w:val="00A86884"/>
    <w:rsid w:val="00A911F4"/>
    <w:rsid w:val="00AA3F26"/>
    <w:rsid w:val="00AB1893"/>
    <w:rsid w:val="00AB75DF"/>
    <w:rsid w:val="00AC3687"/>
    <w:rsid w:val="00AD3AEF"/>
    <w:rsid w:val="00AD50A0"/>
    <w:rsid w:val="00AD788B"/>
    <w:rsid w:val="00AE34BA"/>
    <w:rsid w:val="00AF4E69"/>
    <w:rsid w:val="00B16A6B"/>
    <w:rsid w:val="00B236CC"/>
    <w:rsid w:val="00B40080"/>
    <w:rsid w:val="00B41D54"/>
    <w:rsid w:val="00B62C43"/>
    <w:rsid w:val="00B67132"/>
    <w:rsid w:val="00B71632"/>
    <w:rsid w:val="00B842AB"/>
    <w:rsid w:val="00B914C4"/>
    <w:rsid w:val="00BA0F3F"/>
    <w:rsid w:val="00BB4021"/>
    <w:rsid w:val="00BF3641"/>
    <w:rsid w:val="00BF3BA0"/>
    <w:rsid w:val="00C078A5"/>
    <w:rsid w:val="00C11188"/>
    <w:rsid w:val="00C15F0F"/>
    <w:rsid w:val="00C30046"/>
    <w:rsid w:val="00C36A54"/>
    <w:rsid w:val="00C36C81"/>
    <w:rsid w:val="00C37EFB"/>
    <w:rsid w:val="00C5790B"/>
    <w:rsid w:val="00C6744B"/>
    <w:rsid w:val="00C71C5D"/>
    <w:rsid w:val="00C851A1"/>
    <w:rsid w:val="00C8528A"/>
    <w:rsid w:val="00CB0724"/>
    <w:rsid w:val="00CC515E"/>
    <w:rsid w:val="00CE0594"/>
    <w:rsid w:val="00CE33AC"/>
    <w:rsid w:val="00CE3A5A"/>
    <w:rsid w:val="00CE797F"/>
    <w:rsid w:val="00D235FE"/>
    <w:rsid w:val="00D3425C"/>
    <w:rsid w:val="00D35A52"/>
    <w:rsid w:val="00D36632"/>
    <w:rsid w:val="00D443AF"/>
    <w:rsid w:val="00D5476F"/>
    <w:rsid w:val="00D616A9"/>
    <w:rsid w:val="00D6313D"/>
    <w:rsid w:val="00D7407D"/>
    <w:rsid w:val="00D765E8"/>
    <w:rsid w:val="00DA38A0"/>
    <w:rsid w:val="00DB0386"/>
    <w:rsid w:val="00DD5423"/>
    <w:rsid w:val="00DE2930"/>
    <w:rsid w:val="00DE59DA"/>
    <w:rsid w:val="00DF59D7"/>
    <w:rsid w:val="00E009E7"/>
    <w:rsid w:val="00E063EA"/>
    <w:rsid w:val="00E14B31"/>
    <w:rsid w:val="00E17A97"/>
    <w:rsid w:val="00E34347"/>
    <w:rsid w:val="00E74A10"/>
    <w:rsid w:val="00E96E3E"/>
    <w:rsid w:val="00EA2513"/>
    <w:rsid w:val="00EC5668"/>
    <w:rsid w:val="00ED1E39"/>
    <w:rsid w:val="00F15AE7"/>
    <w:rsid w:val="00F302A2"/>
    <w:rsid w:val="00F30C8D"/>
    <w:rsid w:val="00F466C4"/>
    <w:rsid w:val="00F563A5"/>
    <w:rsid w:val="00F72AB4"/>
    <w:rsid w:val="00F83EB6"/>
    <w:rsid w:val="00FA0D0C"/>
    <w:rsid w:val="00FA78CE"/>
    <w:rsid w:val="00FB5D46"/>
    <w:rsid w:val="00FB7C33"/>
    <w:rsid w:val="00FC4905"/>
    <w:rsid w:val="00FC4A68"/>
    <w:rsid w:val="00FD1245"/>
    <w:rsid w:val="00FD3954"/>
    <w:rsid w:val="00FF04EA"/>
    <w:rsid w:val="00FF2D02"/>
    <w:rsid w:val="00FF4B8F"/>
    <w:rsid w:val="01527B46"/>
    <w:rsid w:val="0196676E"/>
    <w:rsid w:val="02462E96"/>
    <w:rsid w:val="0DF74786"/>
    <w:rsid w:val="11EF4952"/>
    <w:rsid w:val="13A603BE"/>
    <w:rsid w:val="14A37263"/>
    <w:rsid w:val="1E803D81"/>
    <w:rsid w:val="1EE15640"/>
    <w:rsid w:val="1F8C74AA"/>
    <w:rsid w:val="25AF1F3A"/>
    <w:rsid w:val="27C41030"/>
    <w:rsid w:val="2B5E7267"/>
    <w:rsid w:val="2D925A94"/>
    <w:rsid w:val="30430BE1"/>
    <w:rsid w:val="34B5317F"/>
    <w:rsid w:val="34B67D39"/>
    <w:rsid w:val="365B2FE7"/>
    <w:rsid w:val="3CDD4BB1"/>
    <w:rsid w:val="423B2926"/>
    <w:rsid w:val="444557EE"/>
    <w:rsid w:val="49473E68"/>
    <w:rsid w:val="497051E2"/>
    <w:rsid w:val="4CD91AFB"/>
    <w:rsid w:val="4E0F4EE1"/>
    <w:rsid w:val="4F99773D"/>
    <w:rsid w:val="4FB54A27"/>
    <w:rsid w:val="536D6AB9"/>
    <w:rsid w:val="53A553F9"/>
    <w:rsid w:val="56AF0FE5"/>
    <w:rsid w:val="57567D10"/>
    <w:rsid w:val="586E2E84"/>
    <w:rsid w:val="5B1D6276"/>
    <w:rsid w:val="5CDA259C"/>
    <w:rsid w:val="5ECE0188"/>
    <w:rsid w:val="60032DC0"/>
    <w:rsid w:val="61415CE0"/>
    <w:rsid w:val="63450875"/>
    <w:rsid w:val="66186608"/>
    <w:rsid w:val="69426BBF"/>
    <w:rsid w:val="6A6697B6"/>
    <w:rsid w:val="6AD95EF3"/>
    <w:rsid w:val="6FB52731"/>
    <w:rsid w:val="707E3DF9"/>
    <w:rsid w:val="7214779D"/>
    <w:rsid w:val="743250E2"/>
    <w:rsid w:val="791B2F64"/>
    <w:rsid w:val="79B55C0E"/>
    <w:rsid w:val="7B802E87"/>
    <w:rsid w:val="7C7418DF"/>
    <w:rsid w:val="7E3F4B0B"/>
    <w:rsid w:val="CB972C33"/>
    <w:rsid w:val="F7FB8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unhideWhenUsed/>
    <w:qFormat/>
    <w:uiPriority w:val="99"/>
    <w:pPr>
      <w:jc w:val="left"/>
    </w:pPr>
  </w:style>
  <w:style w:type="paragraph" w:styleId="4">
    <w:name w:val="Body Text"/>
    <w:basedOn w:val="1"/>
    <w:next w:val="5"/>
    <w:unhideWhenUsed/>
    <w:qFormat/>
    <w:uiPriority w:val="99"/>
    <w:pPr>
      <w:ind w:left="520"/>
    </w:pPr>
    <w:rPr>
      <w:rFonts w:hint="eastAsia" w:ascii="宋体" w:hAnsi="宋体" w:eastAsia="宋体"/>
      <w:szCs w:val="24"/>
    </w:rPr>
  </w:style>
  <w:style w:type="paragraph" w:styleId="5">
    <w:name w:val="Subtitle"/>
    <w:basedOn w:val="1"/>
    <w:next w:val="1"/>
    <w:qFormat/>
    <w:uiPriority w:val="11"/>
    <w:pPr>
      <w:spacing w:before="200" w:after="200"/>
    </w:pPr>
    <w:rPr>
      <w:sz w:val="24"/>
      <w:szCs w:val="24"/>
    </w:rPr>
  </w:style>
  <w:style w:type="paragraph" w:styleId="6">
    <w:name w:val="Date"/>
    <w:basedOn w:val="1"/>
    <w:next w:val="1"/>
    <w:qFormat/>
    <w:uiPriority w:val="99"/>
    <w:pPr>
      <w:ind w:left="2500" w:leftChars="2500"/>
    </w:pPr>
  </w:style>
  <w:style w:type="paragraph" w:styleId="7">
    <w:name w:val="Balloon Text"/>
    <w:basedOn w:val="1"/>
    <w:link w:val="18"/>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3"/>
    <w:next w:val="3"/>
    <w:link w:val="20"/>
    <w:semiHidden/>
    <w:unhideWhenUsed/>
    <w:qFormat/>
    <w:uiPriority w:val="99"/>
    <w:rPr>
      <w:b/>
      <w:bCs/>
    </w:rPr>
  </w:style>
  <w:style w:type="character" w:styleId="13">
    <w:name w:val="page number"/>
    <w:unhideWhenUsed/>
    <w:qFormat/>
    <w:uiPriority w:val="0"/>
    <w:rPr>
      <w:rFonts w:hint="default"/>
      <w:sz w:val="24"/>
      <w:szCs w:val="24"/>
    </w:rPr>
  </w:style>
  <w:style w:type="character" w:styleId="14">
    <w:name w:val="Emphasis"/>
    <w:basedOn w:val="12"/>
    <w:qFormat/>
    <w:uiPriority w:val="20"/>
    <w:rPr>
      <w:i/>
      <w:iCs/>
    </w:rPr>
  </w:style>
  <w:style w:type="character" w:styleId="15">
    <w:name w:val="annotation reference"/>
    <w:basedOn w:val="12"/>
    <w:semiHidden/>
    <w:unhideWhenUsed/>
    <w:qFormat/>
    <w:uiPriority w:val="99"/>
    <w:rPr>
      <w:sz w:val="21"/>
      <w:szCs w:val="21"/>
    </w:rPr>
  </w:style>
  <w:style w:type="character" w:customStyle="1" w:styleId="16">
    <w:name w:val="页眉 字符"/>
    <w:basedOn w:val="12"/>
    <w:link w:val="9"/>
    <w:qFormat/>
    <w:uiPriority w:val="99"/>
    <w:rPr>
      <w:sz w:val="18"/>
      <w:szCs w:val="18"/>
    </w:rPr>
  </w:style>
  <w:style w:type="character" w:customStyle="1" w:styleId="17">
    <w:name w:val="页脚 字符"/>
    <w:basedOn w:val="12"/>
    <w:link w:val="8"/>
    <w:qFormat/>
    <w:uiPriority w:val="99"/>
    <w:rPr>
      <w:sz w:val="18"/>
      <w:szCs w:val="18"/>
    </w:rPr>
  </w:style>
  <w:style w:type="character" w:customStyle="1" w:styleId="18">
    <w:name w:val="批注框文本 字符"/>
    <w:basedOn w:val="12"/>
    <w:link w:val="7"/>
    <w:semiHidden/>
    <w:qFormat/>
    <w:uiPriority w:val="99"/>
    <w:rPr>
      <w:kern w:val="2"/>
      <w:sz w:val="18"/>
      <w:szCs w:val="18"/>
    </w:rPr>
  </w:style>
  <w:style w:type="character" w:customStyle="1" w:styleId="19">
    <w:name w:val="批注文字 字符"/>
    <w:basedOn w:val="12"/>
    <w:link w:val="3"/>
    <w:qFormat/>
    <w:uiPriority w:val="99"/>
    <w:rPr>
      <w:rFonts w:asciiTheme="minorHAnsi" w:hAnsiTheme="minorHAnsi" w:eastAsiaTheme="minorEastAsia" w:cstheme="minorBidi"/>
      <w:kern w:val="2"/>
      <w:sz w:val="21"/>
      <w:szCs w:val="22"/>
    </w:rPr>
  </w:style>
  <w:style w:type="character" w:customStyle="1" w:styleId="20">
    <w:name w:val="批注主题 字符"/>
    <w:basedOn w:val="19"/>
    <w:link w:val="10"/>
    <w:semiHidden/>
    <w:qFormat/>
    <w:uiPriority w:val="99"/>
    <w:rPr>
      <w:rFonts w:asciiTheme="minorHAnsi" w:hAnsiTheme="minorHAnsi" w:eastAsiaTheme="minorEastAsia" w:cstheme="minorBidi"/>
      <w:b/>
      <w:bCs/>
      <w:kern w:val="2"/>
      <w:sz w:val="21"/>
      <w:szCs w:val="22"/>
    </w:rPr>
  </w:style>
  <w:style w:type="paragraph" w:styleId="21">
    <w:name w:val="List Paragraph"/>
    <w:basedOn w:val="1"/>
    <w:qFormat/>
    <w:uiPriority w:val="99"/>
    <w:pPr>
      <w:ind w:firstLine="420" w:firstLineChars="200"/>
    </w:pPr>
  </w:style>
  <w:style w:type="paragraph" w:customStyle="1" w:styleId="22">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8260</Words>
  <Characters>8449</Characters>
  <Lines>62</Lines>
  <Paragraphs>17</Paragraphs>
  <TotalTime>3</TotalTime>
  <ScaleCrop>false</ScaleCrop>
  <LinksUpToDate>false</LinksUpToDate>
  <CharactersWithSpaces>8816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2020-09-25T07:13:00Z</dcterms:created>
  <dc:creator>116497181@qq.com</dc:creator>
  <cp:lastModifiedBy>建议者</cp:lastModifiedBy>
  <cp:lastPrinted>2022-01-06T09:06:00Z</cp:lastPrinted>
  <dcterms:modified xsi:type="dcterms:W3CDTF">2026-07-07T08:22:19Z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A9B5BD1172FF4189AD220724564C676E_13</vt:lpwstr>
  </property>
  <property fmtid="{D5CDD505-2E9C-101B-9397-08002B2CF9AE}" pid="4" name="KSOTemplateDocerSaveRecord">
    <vt:lpwstr>eyJoZGlkIjoiZmE4M2MzNjM4YjMwY2YxZGNhYTIwODQ3MzhiNzA3MmYiLCJ1c2VySWQiOiI0MzcxMDg0OTcifQ==</vt:lpwstr>
  </property>
</Properties>
</file>